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57" w:rsidRPr="00CA5E57" w:rsidRDefault="00CA5E57" w:rsidP="00CA5E57">
      <w:pPr>
        <w:jc w:val="center"/>
        <w:rPr>
          <w:rFonts w:ascii="Times New Roman" w:hAnsi="Times New Roman"/>
          <w:b/>
          <w:sz w:val="32"/>
          <w:szCs w:val="32"/>
        </w:rPr>
      </w:pPr>
      <w:r w:rsidRPr="00CA5E57">
        <w:rPr>
          <w:rFonts w:ascii="Times New Roman" w:hAnsi="Times New Roman"/>
          <w:b/>
          <w:sz w:val="32"/>
          <w:szCs w:val="32"/>
        </w:rPr>
        <w:t>ABSTRACT</w:t>
      </w:r>
    </w:p>
    <w:p w:rsidR="00B6783B" w:rsidRPr="00CA5E57" w:rsidRDefault="00CA5E57" w:rsidP="00CA5E57">
      <w:pPr>
        <w:spacing w:line="360" w:lineRule="auto"/>
        <w:jc w:val="both"/>
        <w:rPr>
          <w:sz w:val="24"/>
          <w:szCs w:val="24"/>
        </w:rPr>
      </w:pPr>
      <w:r w:rsidRPr="00CA5E57">
        <w:rPr>
          <w:rFonts w:ascii="Times New Roman" w:hAnsi="Times New Roman"/>
          <w:sz w:val="24"/>
          <w:szCs w:val="24"/>
        </w:rPr>
        <w:t>In this paper, we establish a set of sufficient conditions for the controllability of damped second-order impulsive neutral integrodifferential systems with nonlocal initial conditions in Banach spaces. The approach used is the Sadovskii fixed point theorem combined with a noncompact condition on the cosine family of operators. An example is presented to illustrate the result.</w:t>
      </w:r>
    </w:p>
    <w:sectPr w:rsidR="00B6783B" w:rsidRPr="00CA5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A5E57"/>
    <w:rsid w:val="00B6783B"/>
    <w:rsid w:val="00CA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GRG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2020-08-24T07:31:00Z</dcterms:created>
  <dcterms:modified xsi:type="dcterms:W3CDTF">2020-08-24T07:32:00Z</dcterms:modified>
</cp:coreProperties>
</file>