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B94" w:rsidRPr="003C6B94" w:rsidRDefault="003C6B94" w:rsidP="003C6B94">
      <w:pPr>
        <w:jc w:val="center"/>
        <w:rPr>
          <w:rFonts w:ascii="Times New Roman" w:hAnsi="Times New Roman"/>
          <w:b/>
          <w:sz w:val="32"/>
          <w:szCs w:val="32"/>
        </w:rPr>
      </w:pPr>
      <w:r w:rsidRPr="003C6B94">
        <w:rPr>
          <w:rFonts w:ascii="Times New Roman" w:hAnsi="Times New Roman"/>
          <w:b/>
          <w:sz w:val="32"/>
          <w:szCs w:val="32"/>
        </w:rPr>
        <w:t>ABSTRACT</w:t>
      </w:r>
    </w:p>
    <w:p w:rsidR="00000000" w:rsidRPr="003C6B94" w:rsidRDefault="003C6B94" w:rsidP="003C6B94">
      <w:pPr>
        <w:spacing w:line="360" w:lineRule="auto"/>
        <w:jc w:val="both"/>
        <w:rPr>
          <w:sz w:val="24"/>
          <w:szCs w:val="24"/>
        </w:rPr>
      </w:pPr>
      <w:r w:rsidRPr="00160E09">
        <w:rPr>
          <w:rFonts w:ascii="Times New Roman" w:hAnsi="Times New Roman"/>
          <w:sz w:val="28"/>
          <w:szCs w:val="28"/>
        </w:rPr>
        <w:t> </w:t>
      </w:r>
      <w:r w:rsidRPr="003C6B94">
        <w:rPr>
          <w:rFonts w:ascii="Times New Roman" w:hAnsi="Times New Roman"/>
          <w:sz w:val="24"/>
          <w:szCs w:val="24"/>
        </w:rPr>
        <w:t>In this paper, we examine the controllability problems of certain impulsive differential equations. Sufficient conditions ensuring the controllability of second-order impulsive evolution systems with infinite delay are established. Fixed point approaches are employed for achieving the required results. An example is discussed to illustrate the efficiency of the result.</w:t>
      </w:r>
    </w:p>
    <w:p w:rsidR="003C6B94" w:rsidRPr="003C6B94" w:rsidRDefault="003C6B94">
      <w:pPr>
        <w:spacing w:line="360" w:lineRule="auto"/>
        <w:jc w:val="both"/>
        <w:rPr>
          <w:sz w:val="24"/>
          <w:szCs w:val="24"/>
        </w:rPr>
      </w:pPr>
    </w:p>
    <w:sectPr w:rsidR="003C6B94" w:rsidRPr="003C6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C6B94"/>
    <w:rsid w:val="003C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>GRG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2020-08-25T04:56:00Z</dcterms:created>
  <dcterms:modified xsi:type="dcterms:W3CDTF">2020-08-25T04:57:00Z</dcterms:modified>
</cp:coreProperties>
</file>