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C6" w:rsidRDefault="00A443C6" w:rsidP="00A443C6">
      <w:pPr>
        <w:jc w:val="center"/>
        <w:rPr>
          <w:rFonts w:ascii="Times New Roman" w:eastAsia="Times New Roman" w:hAnsi="Times New Roman"/>
          <w:b/>
          <w:color w:val="333333"/>
          <w:sz w:val="32"/>
          <w:szCs w:val="32"/>
        </w:rPr>
      </w:pPr>
      <w:r w:rsidRPr="00A443C6">
        <w:rPr>
          <w:rFonts w:ascii="Times New Roman" w:eastAsia="Times New Roman" w:hAnsi="Times New Roman"/>
          <w:b/>
          <w:color w:val="333333"/>
          <w:sz w:val="32"/>
          <w:szCs w:val="32"/>
        </w:rPr>
        <w:t>ABSTRACT</w:t>
      </w:r>
    </w:p>
    <w:p w:rsidR="00A443C6" w:rsidRPr="00A443C6" w:rsidRDefault="00A443C6" w:rsidP="00A443C6">
      <w:pPr>
        <w:jc w:val="center"/>
        <w:rPr>
          <w:rFonts w:ascii="Times New Roman" w:eastAsia="Times New Roman" w:hAnsi="Times New Roman"/>
          <w:b/>
          <w:color w:val="333333"/>
          <w:sz w:val="32"/>
          <w:szCs w:val="32"/>
        </w:rPr>
      </w:pPr>
    </w:p>
    <w:p w:rsidR="00693154" w:rsidRPr="00A443C6" w:rsidRDefault="00A443C6" w:rsidP="00A443C6">
      <w:pPr>
        <w:spacing w:line="360" w:lineRule="auto"/>
        <w:jc w:val="both"/>
        <w:rPr>
          <w:rFonts w:ascii="Times New Roman" w:eastAsia="Times New Roman" w:hAnsi="Times New Roman"/>
          <w:color w:val="333333"/>
          <w:sz w:val="24"/>
          <w:szCs w:val="24"/>
        </w:rPr>
      </w:pPr>
      <w:r w:rsidRPr="00A443C6">
        <w:rPr>
          <w:rFonts w:ascii="Times New Roman" w:eastAsia="Times New Roman" w:hAnsi="Times New Roman"/>
          <w:color w:val="333333"/>
          <w:sz w:val="24"/>
          <w:szCs w:val="24"/>
        </w:rPr>
        <w:t>This paper deals with the controllability of damped second order impulsive differential systems in Banach spaces. Sufficient conditions are formulated by using the theory of strongly continuous cosine family of operators and a fixed point analysis approach</w:t>
      </w:r>
    </w:p>
    <w:sectPr w:rsidR="00693154" w:rsidRPr="00A44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443C6"/>
    <w:rsid w:val="00693154"/>
    <w:rsid w:val="00A4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Company>GRG</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2020-08-25T06:01:00Z</dcterms:created>
  <dcterms:modified xsi:type="dcterms:W3CDTF">2020-08-25T06:02:00Z</dcterms:modified>
</cp:coreProperties>
</file>