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1C" w:rsidRPr="0065451C" w:rsidRDefault="0065451C" w:rsidP="0065451C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65451C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7B3AE1" w:rsidRDefault="0065451C" w:rsidP="0065451C">
      <w:pPr>
        <w:spacing w:line="360" w:lineRule="auto"/>
        <w:jc w:val="both"/>
      </w:pP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The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ligands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bis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-(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benzimidazolyl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pyridine (BBIP) and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bis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-(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benzimidazolyl</w:t>
      </w:r>
      <w:proofErr w:type="spellEnd"/>
      <w:proofErr w:type="gram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)benzene</w:t>
      </w:r>
      <w:proofErr w:type="gram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(BBIB) have been used to synthesize Copper(II) complexes [Cu(BBIP)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and [Cu(BBIB)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respectively. The complexes are characterized by analytical and spectral (FTIR, 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perscript"/>
        </w:rPr>
        <w:t>1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H NMR and electronic) techniques. IR spectra of complexes show that the tertiary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nitrogens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in the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ligand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are involved in the co-ordination to the metal ion. An octahedral geometry has been suggested for the complexes and the molar conductance values reveal them to be 1:2 electrolytes. The TGA curves of the </w:t>
      </w:r>
      <w:proofErr w:type="gram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complexes[</w:t>
      </w:r>
      <w:proofErr w:type="gram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Cu(BBIP)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and [Cu(BBIB)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show no mass loss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upto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200°C which indicates the absence of lattice as well as co-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ordinated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water. The </w:t>
      </w:r>
      <w:proofErr w:type="spell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ligand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BBIP and [</w:t>
      </w:r>
      <w:proofErr w:type="gram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Cu(</w:t>
      </w:r>
      <w:proofErr w:type="gram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BBIP)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complex exhibit good antifungal and antibacterial activity against </w:t>
      </w:r>
      <w:r w:rsidRPr="00F065E7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Candida </w:t>
      </w:r>
      <w:proofErr w:type="spellStart"/>
      <w:r w:rsidRPr="00F065E7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albicans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and </w:t>
      </w:r>
      <w:r w:rsidRPr="00F065E7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Staphylococcus </w:t>
      </w:r>
      <w:proofErr w:type="spellStart"/>
      <w:r w:rsidRPr="00F065E7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aureus</w:t>
      </w:r>
      <w:proofErr w:type="spell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(gram positive), </w:t>
      </w:r>
      <w:r w:rsidRPr="00F065E7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Escherichia coli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(gram negative) respectively, by using modified Kirby-Bauer disc diffusion method. The screening results for anti-proliferative activity for the MCF 7 breast cancerous cells show promising activity. The [</w:t>
      </w:r>
      <w:proofErr w:type="gramStart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Cu(</w:t>
      </w:r>
      <w:proofErr w:type="gramEnd"/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BBIP)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>]Cl</w:t>
      </w:r>
      <w:r w:rsidRPr="00F065E7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F065E7">
        <w:rPr>
          <w:rFonts w:ascii="Times New Roman" w:eastAsia="Times New Roman" w:hAnsi="Times New Roman"/>
          <w:color w:val="333333"/>
          <w:sz w:val="28"/>
          <w:szCs w:val="28"/>
        </w:rPr>
        <w:t xml:space="preserve"> complex has enhanced growth inhibition in a dose-dependent manner</w:t>
      </w:r>
    </w:p>
    <w:sectPr w:rsidR="007B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51C"/>
    <w:rsid w:val="0065451C"/>
    <w:rsid w:val="007B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2020-08-25T06:37:00Z</dcterms:created>
  <dcterms:modified xsi:type="dcterms:W3CDTF">2020-08-25T06:37:00Z</dcterms:modified>
</cp:coreProperties>
</file>