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1E" w:rsidRPr="00523D1E" w:rsidRDefault="00523D1E" w:rsidP="00523D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0E2C79" w:rsidRPr="00523D1E" w:rsidRDefault="00523D1E" w:rsidP="00523D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D1E">
        <w:rPr>
          <w:rFonts w:ascii="Times New Roman" w:hAnsi="Times New Roman" w:cs="Times New Roman"/>
          <w:sz w:val="24"/>
          <w:szCs w:val="24"/>
        </w:rPr>
        <w:t>In this paper, we have introduced the notion of Reflexive retract. A few levels of retracts were achieved. The first level is obviously the retract in the sense of Borsuk, and the second level is reflexive homotopy and its properties.</w:t>
      </w:r>
    </w:p>
    <w:sectPr w:rsidR="000E2C79" w:rsidRPr="00523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23D1E"/>
    <w:rsid w:val="000E2C79"/>
    <w:rsid w:val="0052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GRG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2020-08-26T04:47:00Z</dcterms:created>
  <dcterms:modified xsi:type="dcterms:W3CDTF">2020-08-26T04:48:00Z</dcterms:modified>
</cp:coreProperties>
</file>