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A0" w:rsidRPr="009278A0" w:rsidRDefault="009278A0" w:rsidP="009278A0">
      <w:pPr>
        <w:jc w:val="center"/>
        <w:rPr>
          <w:rFonts w:ascii="Times New Roman" w:eastAsia="Times New Roman" w:hAnsi="Times New Roman"/>
          <w:b/>
          <w:color w:val="333333"/>
          <w:sz w:val="32"/>
          <w:szCs w:val="28"/>
        </w:rPr>
      </w:pPr>
      <w:r w:rsidRPr="009278A0">
        <w:rPr>
          <w:rFonts w:ascii="Times New Roman" w:eastAsia="Times New Roman" w:hAnsi="Times New Roman"/>
          <w:b/>
          <w:color w:val="333333"/>
          <w:sz w:val="32"/>
          <w:szCs w:val="28"/>
        </w:rPr>
        <w:t>ABSTRACT</w:t>
      </w:r>
    </w:p>
    <w:p w:rsidR="00BF745C" w:rsidRPr="009278A0" w:rsidRDefault="009278A0" w:rsidP="009278A0">
      <w:pPr>
        <w:spacing w:line="360" w:lineRule="auto"/>
        <w:jc w:val="both"/>
        <w:rPr>
          <w:sz w:val="20"/>
        </w:rPr>
      </w:pPr>
      <w:r w:rsidRPr="009278A0">
        <w:rPr>
          <w:rFonts w:ascii="Times New Roman" w:eastAsia="Times New Roman" w:hAnsi="Times New Roman"/>
          <w:color w:val="333333"/>
          <w:sz w:val="24"/>
          <w:szCs w:val="28"/>
        </w:rPr>
        <w:t>The corrosion behavior of mild steel in 1 M H</w:t>
      </w:r>
      <w:r w:rsidRPr="009278A0">
        <w:rPr>
          <w:rFonts w:ascii="Times New Roman" w:eastAsia="Times New Roman" w:hAnsi="Times New Roman"/>
          <w:color w:val="333333"/>
          <w:sz w:val="24"/>
          <w:szCs w:val="28"/>
          <w:vertAlign w:val="subscript"/>
        </w:rPr>
        <w:t>2</w:t>
      </w:r>
      <w:r w:rsidRPr="009278A0">
        <w:rPr>
          <w:rFonts w:ascii="Times New Roman" w:eastAsia="Times New Roman" w:hAnsi="Times New Roman"/>
          <w:color w:val="333333"/>
          <w:sz w:val="24"/>
          <w:szCs w:val="28"/>
        </w:rPr>
        <w:t>SO</w:t>
      </w:r>
      <w:r w:rsidRPr="009278A0">
        <w:rPr>
          <w:rFonts w:ascii="Times New Roman" w:eastAsia="Times New Roman" w:hAnsi="Times New Roman"/>
          <w:color w:val="333333"/>
          <w:sz w:val="24"/>
          <w:szCs w:val="28"/>
          <w:vertAlign w:val="subscript"/>
        </w:rPr>
        <w:t>4</w:t>
      </w:r>
      <w:r w:rsidRPr="009278A0">
        <w:rPr>
          <w:rFonts w:ascii="Times New Roman" w:eastAsia="Times New Roman" w:hAnsi="Times New Roman"/>
          <w:color w:val="333333"/>
          <w:sz w:val="24"/>
          <w:szCs w:val="28"/>
        </w:rPr>
        <w:t xml:space="preserve"> was studied using 2,3-diphenylpyrazine (DP), 2,3-di(furan-2-yl)</w:t>
      </w:r>
      <w:proofErr w:type="spellStart"/>
      <w:r w:rsidRPr="009278A0">
        <w:rPr>
          <w:rFonts w:ascii="Times New Roman" w:eastAsia="Times New Roman" w:hAnsi="Times New Roman"/>
          <w:color w:val="333333"/>
          <w:sz w:val="24"/>
          <w:szCs w:val="28"/>
        </w:rPr>
        <w:t>pyrazine</w:t>
      </w:r>
      <w:proofErr w:type="spellEnd"/>
      <w:r w:rsidRPr="009278A0">
        <w:rPr>
          <w:rFonts w:ascii="Times New Roman" w:eastAsia="Times New Roman" w:hAnsi="Times New Roman"/>
          <w:color w:val="333333"/>
          <w:sz w:val="24"/>
          <w:szCs w:val="28"/>
        </w:rPr>
        <w:t xml:space="preserve"> (FP) and 2,3-di(furan-2-yl)</w:t>
      </w:r>
      <w:proofErr w:type="spellStart"/>
      <w:r w:rsidRPr="009278A0">
        <w:rPr>
          <w:rFonts w:ascii="Times New Roman" w:eastAsia="Times New Roman" w:hAnsi="Times New Roman"/>
          <w:color w:val="333333"/>
          <w:sz w:val="24"/>
          <w:szCs w:val="28"/>
        </w:rPr>
        <w:t>quinoxaline</w:t>
      </w:r>
      <w:proofErr w:type="spellEnd"/>
      <w:r w:rsidRPr="009278A0">
        <w:rPr>
          <w:rFonts w:ascii="Times New Roman" w:eastAsia="Times New Roman" w:hAnsi="Times New Roman"/>
          <w:color w:val="333333"/>
          <w:sz w:val="24"/>
          <w:szCs w:val="28"/>
        </w:rPr>
        <w:t xml:space="preserve"> (FQ) as inhibitors using weight loss, </w:t>
      </w:r>
      <w:proofErr w:type="spellStart"/>
      <w:r w:rsidRPr="009278A0">
        <w:rPr>
          <w:rFonts w:ascii="Times New Roman" w:eastAsia="Times New Roman" w:hAnsi="Times New Roman"/>
          <w:color w:val="333333"/>
          <w:sz w:val="24"/>
          <w:szCs w:val="28"/>
        </w:rPr>
        <w:t>potentiodynamic</w:t>
      </w:r>
      <w:proofErr w:type="spellEnd"/>
      <w:r w:rsidRPr="009278A0">
        <w:rPr>
          <w:rFonts w:ascii="Times New Roman" w:eastAsia="Times New Roman" w:hAnsi="Times New Roman"/>
          <w:color w:val="333333"/>
          <w:sz w:val="24"/>
          <w:szCs w:val="28"/>
        </w:rPr>
        <w:t xml:space="preserve"> polarization and electrochemical impedance spectroscopy (EIS) studies. Scanning electron microscopy (SEM) and atomic force microscopy (AFM) methods were utilized for surface characterization. The results showed that the three inhibitors possess excellent inhibition effect toward mild steel corrosion. The inhibitor molecules are adsorbed on the mild steel surface, blocking the reactive sites available for acid attack. Adsorption of the inhibitor was found to obey Langmuir isotherm. Electronic structure calculations were used to study the inhibition efficiency of the inhibitor molecules on Fe (100) surface. The calculated results are in agreement with the experimental findings.</w:t>
      </w:r>
    </w:p>
    <w:sectPr w:rsidR="00BF745C" w:rsidRPr="00927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78A0"/>
    <w:rsid w:val="009278A0"/>
    <w:rsid w:val="00BF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2020-08-26T04:50:00Z</dcterms:created>
  <dcterms:modified xsi:type="dcterms:W3CDTF">2020-08-26T04:51:00Z</dcterms:modified>
</cp:coreProperties>
</file>