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FE" w:rsidRPr="00E215FE" w:rsidRDefault="00E215FE" w:rsidP="00E215FE">
      <w:pPr>
        <w:jc w:val="center"/>
        <w:rPr>
          <w:rFonts w:ascii="Times New Roman" w:eastAsia="Times New Roman" w:hAnsi="Times New Roman"/>
          <w:b/>
          <w:color w:val="333333"/>
          <w:sz w:val="32"/>
          <w:szCs w:val="28"/>
        </w:rPr>
      </w:pPr>
      <w:r w:rsidRPr="00E215FE">
        <w:rPr>
          <w:rFonts w:ascii="Times New Roman" w:eastAsia="Times New Roman" w:hAnsi="Times New Roman"/>
          <w:b/>
          <w:color w:val="333333"/>
          <w:sz w:val="32"/>
          <w:szCs w:val="28"/>
        </w:rPr>
        <w:t>ABSTRACT</w:t>
      </w:r>
    </w:p>
    <w:p w:rsidR="008F4F85" w:rsidRPr="00E215FE" w:rsidRDefault="00E215FE" w:rsidP="00E215FE">
      <w:pPr>
        <w:spacing w:line="360" w:lineRule="auto"/>
        <w:jc w:val="both"/>
        <w:rPr>
          <w:sz w:val="20"/>
        </w:rPr>
      </w:pPr>
      <w:r w:rsidRPr="00E215FE">
        <w:rPr>
          <w:rFonts w:ascii="Times New Roman" w:eastAsia="Times New Roman" w:hAnsi="Times New Roman"/>
          <w:color w:val="333333"/>
          <w:sz w:val="24"/>
          <w:szCs w:val="28"/>
        </w:rPr>
        <w:t xml:space="preserve">The influence of two </w:t>
      </w:r>
      <w:proofErr w:type="spellStart"/>
      <w:r w:rsidRPr="00E215FE">
        <w:rPr>
          <w:rFonts w:ascii="Times New Roman" w:eastAsia="Times New Roman" w:hAnsi="Times New Roman"/>
          <w:color w:val="333333"/>
          <w:sz w:val="24"/>
          <w:szCs w:val="28"/>
        </w:rPr>
        <w:t>benzofused</w:t>
      </w:r>
      <w:proofErr w:type="spellEnd"/>
      <w:r w:rsidRPr="00E215FE">
        <w:rPr>
          <w:rFonts w:ascii="Times New Roman" w:eastAsia="Times New Roman" w:hAnsi="Times New Roman"/>
          <w:color w:val="333333"/>
          <w:sz w:val="24"/>
          <w:szCs w:val="28"/>
        </w:rPr>
        <w:t xml:space="preserve"> heterocyclic compounds, namely 2-phenylquinazolin-4(3H)-one(PQO) and 2-phenyl-4H-benzo[d]oxazin-4-one(POO) in controlling mild steel corrosion in 1 M H</w:t>
      </w:r>
      <w:r w:rsidRPr="00E215FE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2</w:t>
      </w:r>
      <w:r w:rsidRPr="00E215FE">
        <w:rPr>
          <w:rFonts w:ascii="Times New Roman" w:eastAsia="Times New Roman" w:hAnsi="Times New Roman"/>
          <w:color w:val="333333"/>
          <w:sz w:val="24"/>
          <w:szCs w:val="28"/>
        </w:rPr>
        <w:t>SO</w:t>
      </w:r>
      <w:r w:rsidRPr="00E215FE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4</w:t>
      </w:r>
      <w:r w:rsidRPr="00E215FE">
        <w:rPr>
          <w:rFonts w:ascii="Times New Roman" w:eastAsia="Times New Roman" w:hAnsi="Times New Roman"/>
          <w:color w:val="333333"/>
          <w:sz w:val="24"/>
          <w:szCs w:val="28"/>
        </w:rPr>
        <w:t xml:space="preserve"> solution was investigated using gravimetric and electrochemical methods. The experimental results revealed that both the inhibitors inhibit corrosion and their inhibition efficiency follows the order PQO &gt; POO. A mixed mode of inhibition from polarization and a charge transfer mechanism from impedance study in the absence and presence of inhibitors were found. The passive film formed on the mild steel surface was characterized using SEM-EDX. Quantum chemical parameters derived using DFT performed at B3LYP/6-</w:t>
      </w:r>
      <w:proofErr w:type="gramStart"/>
      <w:r w:rsidRPr="00E215FE">
        <w:rPr>
          <w:rFonts w:ascii="Times New Roman" w:eastAsia="Times New Roman" w:hAnsi="Times New Roman"/>
          <w:color w:val="333333"/>
          <w:sz w:val="24"/>
          <w:szCs w:val="28"/>
        </w:rPr>
        <w:t>31G(</w:t>
      </w:r>
      <w:proofErr w:type="gramEnd"/>
      <w:r w:rsidRPr="00E215FE">
        <w:rPr>
          <w:rFonts w:ascii="Times New Roman" w:eastAsia="Times New Roman" w:hAnsi="Times New Roman"/>
          <w:color w:val="333333"/>
          <w:sz w:val="24"/>
          <w:szCs w:val="28"/>
        </w:rPr>
        <w:t>d, p) level were used to correlate the molecular structure.</w:t>
      </w:r>
    </w:p>
    <w:sectPr w:rsidR="008F4F85" w:rsidRPr="00E21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15FE"/>
    <w:rsid w:val="008F4F85"/>
    <w:rsid w:val="00E2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GMGL-RS6</dc:creator>
  <cp:keywords/>
  <dc:description/>
  <cp:lastModifiedBy>GMGL-RS6</cp:lastModifiedBy>
  <cp:revision>2</cp:revision>
  <dcterms:created xsi:type="dcterms:W3CDTF">2020-08-26T04:56:00Z</dcterms:created>
  <dcterms:modified xsi:type="dcterms:W3CDTF">2020-08-26T04:56:00Z</dcterms:modified>
</cp:coreProperties>
</file>