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D5" w:rsidRPr="009725D5" w:rsidRDefault="009725D5" w:rsidP="009725D5">
      <w:pPr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9725D5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9C3716" w:rsidRPr="009725D5" w:rsidRDefault="009725D5" w:rsidP="009725D5">
      <w:pPr>
        <w:spacing w:line="360" w:lineRule="auto"/>
        <w:jc w:val="both"/>
        <w:rPr>
          <w:sz w:val="20"/>
        </w:rPr>
      </w:pPr>
      <w:r w:rsidRPr="009725D5">
        <w:rPr>
          <w:rFonts w:ascii="Times New Roman" w:eastAsia="Times New Roman" w:hAnsi="Times New Roman"/>
          <w:color w:val="333333"/>
          <w:sz w:val="24"/>
          <w:szCs w:val="28"/>
        </w:rPr>
        <w:t xml:space="preserve">A novel </w:t>
      </w:r>
      <w:proofErr w:type="spellStart"/>
      <w:r w:rsidRPr="009725D5">
        <w:rPr>
          <w:rFonts w:ascii="Times New Roman" w:eastAsia="Times New Roman" w:hAnsi="Times New Roman"/>
          <w:color w:val="333333"/>
          <w:sz w:val="24"/>
          <w:szCs w:val="28"/>
        </w:rPr>
        <w:t>polyamidoaminoepichlorohydrin</w:t>
      </w:r>
      <w:proofErr w:type="spellEnd"/>
      <w:r w:rsidRPr="009725D5">
        <w:rPr>
          <w:rFonts w:ascii="Times New Roman" w:eastAsia="Times New Roman" w:hAnsi="Times New Roman"/>
          <w:color w:val="333333"/>
          <w:sz w:val="24"/>
          <w:szCs w:val="28"/>
        </w:rPr>
        <w:t xml:space="preserve"> resin was prepared and analyzed using spectroscopy techniques and its anti-corrosion properties were studied and observed. Inhibition efficiency was calculated by impedance spectroscopy, loss in weight and </w:t>
      </w:r>
      <w:proofErr w:type="spellStart"/>
      <w:r w:rsidRPr="009725D5">
        <w:rPr>
          <w:rFonts w:ascii="Times New Roman" w:eastAsia="Times New Roman" w:hAnsi="Times New Roman"/>
          <w:color w:val="333333"/>
          <w:sz w:val="24"/>
          <w:szCs w:val="28"/>
        </w:rPr>
        <w:t>potentiodynamic</w:t>
      </w:r>
      <w:proofErr w:type="spellEnd"/>
      <w:r w:rsidRPr="009725D5">
        <w:rPr>
          <w:rFonts w:ascii="Times New Roman" w:eastAsia="Times New Roman" w:hAnsi="Times New Roman"/>
          <w:color w:val="333333"/>
          <w:sz w:val="24"/>
          <w:szCs w:val="28"/>
        </w:rPr>
        <w:t xml:space="preserve"> polarization. Authors inferred results as the inhibitors tested differently are acted as better anti-corrosive agent. The thermodynamic data of activation were determined. The adsorption of resin on the steel surface was calculated according to Langmuir adsorption theory. A surface study was performed using SEM, AFM, FT-IR and XRD. Inhibition mechanism was deduced from concentration and temperature dependence of inhibition efficiency, Langmuir adsorption, </w:t>
      </w:r>
      <w:proofErr w:type="gramStart"/>
      <w:r w:rsidRPr="009725D5">
        <w:rPr>
          <w:rFonts w:ascii="Times New Roman" w:eastAsia="Times New Roman" w:hAnsi="Times New Roman"/>
          <w:color w:val="333333"/>
          <w:sz w:val="24"/>
          <w:szCs w:val="28"/>
        </w:rPr>
        <w:t>SEM</w:t>
      </w:r>
      <w:proofErr w:type="gramEnd"/>
      <w:r w:rsidRPr="009725D5">
        <w:rPr>
          <w:rFonts w:ascii="Times New Roman" w:eastAsia="Times New Roman" w:hAnsi="Times New Roman"/>
          <w:color w:val="333333"/>
          <w:sz w:val="24"/>
          <w:szCs w:val="28"/>
        </w:rPr>
        <w:t xml:space="preserve"> and AFM results</w:t>
      </w:r>
    </w:p>
    <w:sectPr w:rsidR="009C3716" w:rsidRPr="00972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25D5"/>
    <w:rsid w:val="009725D5"/>
    <w:rsid w:val="009C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2020-08-26T07:21:00Z</dcterms:created>
  <dcterms:modified xsi:type="dcterms:W3CDTF">2020-08-26T07:21:00Z</dcterms:modified>
</cp:coreProperties>
</file>