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F" w:rsidRPr="00FB6DFF" w:rsidRDefault="00FB6DFF" w:rsidP="00FB6DFF">
      <w:pPr>
        <w:spacing w:after="183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FB6DFF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FB6DFF" w:rsidRPr="00FB6DFF" w:rsidRDefault="00FB6DFF" w:rsidP="00FB6DFF">
      <w:pPr>
        <w:spacing w:after="183" w:line="360" w:lineRule="auto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Besides commercially available synthetic polymers, the present work has been undertaken to explore the significance of </w:t>
      </w:r>
      <w:proofErr w:type="gram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poly(</w:t>
      </w:r>
      <w:proofErr w:type="gram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glycerol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suberate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) (PGS) polyester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synthesised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under lab scale in energy storage device. In this regard, a blend polymer electrolytecomprisingofpolyvinylalcohol(PVA),poly(glycerolsuberate)(PGS)polyesteralongwiththevariousproportionsof ammonium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thiocyanate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(NH</w:t>
      </w:r>
      <w:r w:rsidRPr="00FB6DFF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SCN) was prepared adopting solution casting technique. The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synthesised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polyester PGS was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characterised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by Fourier </w:t>
      </w:r>
      <w:proofErr w:type="gram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transform</w:t>
      </w:r>
      <w:proofErr w:type="gram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infrared (FT-IR) spectroscopy, </w:t>
      </w:r>
      <w:r w:rsidRPr="00FB6DFF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1</w:t>
      </w:r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H and</w:t>
      </w:r>
      <w:r w:rsidRPr="00FB6DFF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13</w:t>
      </w:r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C nuclear magnetic resonance (NMR) spectroscopy. The prepared electrolyte film was subjected to FT-IR analysis to study the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complexation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that has occurred within the blend. Its amorphous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naturewas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revealedfromX-</w:t>
      </w:r>
      <w:proofErr w:type="gram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raydiffraction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(</w:t>
      </w:r>
      <w:proofErr w:type="gram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XRD) studies.InfluenceofNH</w:t>
      </w:r>
      <w:r w:rsidRPr="00FB6DFF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SCN</w:t>
      </w:r>
      <w:r>
        <w:rPr>
          <w:rFonts w:ascii="Times New Roman" w:eastAsia="Times New Roman" w:hAnsi="Times New Roman"/>
          <w:color w:val="333333"/>
          <w:sz w:val="24"/>
          <w:szCs w:val="28"/>
        </w:rPr>
        <w:t>ontheglasstransitiontemperature. (</w:t>
      </w:r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T</w:t>
      </w:r>
      <w:r w:rsidRPr="00FB6DFF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g</w:t>
      </w:r>
      <w:proofErr w:type="gram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)wasdrawnfromdifferentialscanningcalorimetry</w:t>
      </w:r>
      <w:proofErr w:type="gram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(DSC)technique.Thedispersionofdopantwithinthepolymermatrixwas supported by scanning electron microscopy (SEM) followed by its elemental composition from energy dispersive spectroscopy (EDS). From the AC impedance technique, maximum conductivity of 3.01×10</w:t>
      </w:r>
      <w:r w:rsidRPr="00FB6DFF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−4</w:t>
      </w:r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S cm</w:t>
      </w:r>
      <w:r w:rsidRPr="00FB6DFF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−1</w:t>
      </w:r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was elicited for the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optimised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electrolyte (1 g PVA+0.75 g PGS+0.6 g NH</w:t>
      </w:r>
      <w:r w:rsidRPr="00FB6DFF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SCN). Frequency-dependent dielectric and modulus spectra were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analysed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to study the mechanism of transportation. Transport parameters evaluated by Wagner’s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polarisation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 xml:space="preserve"> method proved that the conductivity was predominantly due to </w:t>
      </w:r>
      <w:proofErr w:type="spellStart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cations</w:t>
      </w:r>
      <w:proofErr w:type="spellEnd"/>
      <w:r w:rsidRPr="00FB6DFF">
        <w:rPr>
          <w:rFonts w:ascii="Times New Roman" w:eastAsia="Times New Roman" w:hAnsi="Times New Roman"/>
          <w:color w:val="333333"/>
          <w:sz w:val="24"/>
          <w:szCs w:val="28"/>
        </w:rPr>
        <w:t>. Proton conducting battery was configured with the highest conducting electrolytic film and its cell parameters are presented.</w:t>
      </w:r>
    </w:p>
    <w:p w:rsidR="00613681" w:rsidRPr="00FB6DFF" w:rsidRDefault="00613681" w:rsidP="00FB6DFF">
      <w:pPr>
        <w:spacing w:line="360" w:lineRule="auto"/>
        <w:jc w:val="both"/>
        <w:rPr>
          <w:sz w:val="20"/>
        </w:rPr>
      </w:pPr>
    </w:p>
    <w:sectPr w:rsidR="00613681" w:rsidRPr="00FB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6DFF"/>
    <w:rsid w:val="00613681"/>
    <w:rsid w:val="00FB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2020-08-26T07:37:00Z</dcterms:created>
  <dcterms:modified xsi:type="dcterms:W3CDTF">2020-08-26T07:38:00Z</dcterms:modified>
</cp:coreProperties>
</file>