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90" w:rsidRPr="00D26890" w:rsidRDefault="00D26890" w:rsidP="00D26890">
      <w:pPr>
        <w:spacing w:line="240" w:lineRule="auto"/>
        <w:jc w:val="center"/>
        <w:rPr>
          <w:rFonts w:ascii="Times New Roman" w:eastAsia="Times New Roman" w:hAnsi="Times New Roman"/>
          <w:b/>
          <w:color w:val="333333"/>
          <w:sz w:val="32"/>
          <w:szCs w:val="32"/>
        </w:rPr>
      </w:pPr>
      <w:r w:rsidRPr="00D26890">
        <w:rPr>
          <w:rFonts w:ascii="Times New Roman" w:eastAsia="Times New Roman" w:hAnsi="Times New Roman"/>
          <w:b/>
          <w:color w:val="333333"/>
          <w:sz w:val="32"/>
          <w:szCs w:val="32"/>
        </w:rPr>
        <w:t>Abstract</w:t>
      </w:r>
    </w:p>
    <w:p w:rsidR="00D26890" w:rsidRPr="00D26890" w:rsidRDefault="00D26890" w:rsidP="00D26890">
      <w:pPr>
        <w:spacing w:line="360" w:lineRule="auto"/>
        <w:jc w:val="both"/>
        <w:rPr>
          <w:rFonts w:ascii="Times New Roman" w:hAnsi="Times New Roman"/>
          <w:bCs/>
          <w:iCs/>
          <w:sz w:val="24"/>
          <w:szCs w:val="24"/>
        </w:rPr>
      </w:pPr>
      <w:r w:rsidRPr="00D26890">
        <w:rPr>
          <w:rFonts w:ascii="Times New Roman" w:hAnsi="Times New Roman"/>
          <w:bCs/>
          <w:iCs/>
          <w:sz w:val="24"/>
          <w:szCs w:val="24"/>
        </w:rPr>
        <w:t>Postmodernism marked a growth of new literatures which had in common the shared experience of colonialism. In reaction to the rejection of anything “too local in interest” by the great tradition of established western canon, postcolonial literature chose to “answer back”. Re-examining the earlier literary tradition and reconstructing new mythologies, postcolonial literature has indeed afforded an enabling experience and generated an enormous corpus of specialized academic writing in the field of postcolonial studies.</w:t>
      </w:r>
    </w:p>
    <w:p w:rsidR="00696FC5" w:rsidRDefault="00696FC5"/>
    <w:sectPr w:rsidR="00696F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26890"/>
    <w:rsid w:val="00696FC5"/>
    <w:rsid w:val="00D268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2020-09-12T09:05:00Z</dcterms:created>
  <dcterms:modified xsi:type="dcterms:W3CDTF">2020-09-12T09:06:00Z</dcterms:modified>
</cp:coreProperties>
</file>