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EA" w:rsidRPr="009659EA" w:rsidRDefault="009659EA" w:rsidP="009659EA">
      <w:pPr>
        <w:jc w:val="center"/>
        <w:rPr>
          <w:rFonts w:ascii="Times New Roman" w:eastAsia="Times New Roman" w:hAnsi="Times New Roman" w:cs="Times New Roman"/>
          <w:b/>
          <w:color w:val="333333"/>
          <w:sz w:val="32"/>
          <w:szCs w:val="32"/>
        </w:rPr>
      </w:pPr>
      <w:r w:rsidRPr="009659EA">
        <w:rPr>
          <w:rFonts w:ascii="Times New Roman" w:eastAsia="Times New Roman" w:hAnsi="Times New Roman" w:cs="Times New Roman"/>
          <w:b/>
          <w:color w:val="333333"/>
          <w:sz w:val="32"/>
          <w:szCs w:val="32"/>
        </w:rPr>
        <w:t>Abstract</w:t>
      </w:r>
    </w:p>
    <w:p w:rsidR="00586E03" w:rsidRPr="009659EA" w:rsidRDefault="009659EA" w:rsidP="009659EA">
      <w:pPr>
        <w:spacing w:line="360" w:lineRule="auto"/>
        <w:jc w:val="both"/>
        <w:rPr>
          <w:rFonts w:ascii="Times New Roman" w:hAnsi="Times New Roman" w:cs="Times New Roman"/>
          <w:sz w:val="24"/>
          <w:szCs w:val="24"/>
        </w:rPr>
      </w:pPr>
      <w:r w:rsidRPr="009659EA">
        <w:rPr>
          <w:rFonts w:ascii="Times New Roman" w:eastAsia="Times New Roman" w:hAnsi="Times New Roman" w:cs="Times New Roman"/>
          <w:color w:val="333333"/>
          <w:sz w:val="24"/>
          <w:szCs w:val="24"/>
        </w:rPr>
        <w:t>The term Knowledge Discovery in Databases, or KDD for short, refers to the broad process of finding knowledge in data, and emphasizes the &amp;</w:t>
      </w:r>
      <w:proofErr w:type="spellStart"/>
      <w:r w:rsidRPr="009659EA">
        <w:rPr>
          <w:rFonts w:ascii="Times New Roman" w:eastAsia="Times New Roman" w:hAnsi="Times New Roman" w:cs="Times New Roman"/>
          <w:color w:val="333333"/>
          <w:sz w:val="24"/>
          <w:szCs w:val="24"/>
        </w:rPr>
        <w:t>quot</w:t>
      </w:r>
      <w:proofErr w:type="gramStart"/>
      <w:r w:rsidRPr="009659EA">
        <w:rPr>
          <w:rFonts w:ascii="Times New Roman" w:eastAsia="Times New Roman" w:hAnsi="Times New Roman" w:cs="Times New Roman"/>
          <w:color w:val="333333"/>
          <w:sz w:val="24"/>
          <w:szCs w:val="24"/>
        </w:rPr>
        <w:t>;high</w:t>
      </w:r>
      <w:proofErr w:type="gramEnd"/>
      <w:r w:rsidRPr="009659EA">
        <w:rPr>
          <w:rFonts w:ascii="Times New Roman" w:eastAsia="Times New Roman" w:hAnsi="Times New Roman" w:cs="Times New Roman"/>
          <w:color w:val="333333"/>
          <w:sz w:val="24"/>
          <w:szCs w:val="24"/>
        </w:rPr>
        <w:t>-level&amp;quot</w:t>
      </w:r>
      <w:proofErr w:type="spellEnd"/>
      <w:r w:rsidRPr="009659EA">
        <w:rPr>
          <w:rFonts w:ascii="Times New Roman" w:eastAsia="Times New Roman" w:hAnsi="Times New Roman" w:cs="Times New Roman"/>
          <w:color w:val="333333"/>
          <w:sz w:val="24"/>
          <w:szCs w:val="24"/>
        </w:rPr>
        <w:t xml:space="preserve">; application of particular data mining  methods. It is of interest to researchers in machine learning pattern recognition, databases, </w:t>
      </w:r>
      <w:proofErr w:type="spellStart"/>
      <w:r w:rsidRPr="009659EA">
        <w:rPr>
          <w:rFonts w:ascii="Times New Roman" w:eastAsia="Times New Roman" w:hAnsi="Times New Roman" w:cs="Times New Roman"/>
          <w:color w:val="333333"/>
          <w:sz w:val="24"/>
          <w:szCs w:val="24"/>
        </w:rPr>
        <w:t>statistics</w:t>
      </w:r>
      <w:proofErr w:type="gramStart"/>
      <w:r w:rsidRPr="009659EA">
        <w:rPr>
          <w:rFonts w:ascii="Times New Roman" w:eastAsia="Times New Roman" w:hAnsi="Times New Roman" w:cs="Times New Roman"/>
          <w:color w:val="333333"/>
          <w:sz w:val="24"/>
          <w:szCs w:val="24"/>
        </w:rPr>
        <w:t>,artificial</w:t>
      </w:r>
      <w:proofErr w:type="spellEnd"/>
      <w:proofErr w:type="gramEnd"/>
      <w:r w:rsidRPr="009659EA">
        <w:rPr>
          <w:rFonts w:ascii="Times New Roman" w:eastAsia="Times New Roman" w:hAnsi="Times New Roman" w:cs="Times New Roman"/>
          <w:color w:val="333333"/>
          <w:sz w:val="24"/>
          <w:szCs w:val="24"/>
        </w:rPr>
        <w:t xml:space="preserve"> intelligence, knowledge acquisition for expert systems, and data visualization. The unifying goal of the KDD process is to extract knowledge from data in the context of large databases. It does this by using data mining methods (algorithms) to extract (identify) what is deemed knowledge, according to the specifications of measures and thresholds, using a database along with any required pre-processing, sub sampling, and transformations of that database.</w:t>
      </w:r>
    </w:p>
    <w:sectPr w:rsidR="00586E03" w:rsidRPr="009659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9659EA"/>
    <w:rsid w:val="00586E03"/>
    <w:rsid w:val="00965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2020-09-15T04:52:00Z</dcterms:created>
  <dcterms:modified xsi:type="dcterms:W3CDTF">2020-09-15T04:53:00Z</dcterms:modified>
</cp:coreProperties>
</file>