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75" w:rsidRPr="00CE0F75" w:rsidRDefault="00CE0F75" w:rsidP="00CE0F75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CE0F7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475187" w:rsidRPr="00CE0F75" w:rsidRDefault="00CE0F75" w:rsidP="00CE0F75">
      <w:pPr>
        <w:spacing w:line="360" w:lineRule="auto"/>
        <w:jc w:val="both"/>
        <w:rPr>
          <w:sz w:val="24"/>
          <w:szCs w:val="24"/>
        </w:rPr>
      </w:pPr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This paper is proposed to understand the interaction of </w:t>
      </w:r>
      <w:proofErr w:type="spellStart"/>
      <w:r w:rsidRPr="00CE0F75">
        <w:rPr>
          <w:rFonts w:ascii="Times New Roman" w:hAnsi="Times New Roman" w:cs="Times New Roman"/>
          <w:color w:val="333333"/>
          <w:sz w:val="24"/>
          <w:szCs w:val="24"/>
        </w:rPr>
        <w:t>porphyrin</w:t>
      </w:r>
      <w:proofErr w:type="spellEnd"/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 layers with diatomic molecules interacting at their interior regions by applying </w:t>
      </w:r>
      <w:proofErr w:type="spellStart"/>
      <w:r w:rsidRPr="00CE0F75">
        <w:rPr>
          <w:rFonts w:ascii="Times New Roman" w:hAnsi="Times New Roman" w:cs="Times New Roman"/>
          <w:color w:val="333333"/>
          <w:sz w:val="24"/>
          <w:szCs w:val="24"/>
        </w:rPr>
        <w:t>ab</w:t>
      </w:r>
      <w:proofErr w:type="spellEnd"/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 initio and density functional theory (DFT) methods. We have used NO, CO, and O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2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 diatomic molecules to interact with the </w:t>
      </w:r>
      <w:proofErr w:type="spellStart"/>
      <w:r w:rsidRPr="00CE0F75">
        <w:rPr>
          <w:rFonts w:ascii="Times New Roman" w:hAnsi="Times New Roman" w:cs="Times New Roman"/>
          <w:color w:val="333333"/>
          <w:sz w:val="24"/>
          <w:szCs w:val="24"/>
        </w:rPr>
        <w:t>porphyrin</w:t>
      </w:r>
      <w:proofErr w:type="spellEnd"/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 layers. The most common Fe-centered </w:t>
      </w:r>
      <w:proofErr w:type="spellStart"/>
      <w:r w:rsidRPr="00CE0F75">
        <w:rPr>
          <w:rFonts w:ascii="Times New Roman" w:hAnsi="Times New Roman" w:cs="Times New Roman"/>
          <w:color w:val="333333"/>
          <w:sz w:val="24"/>
          <w:szCs w:val="24"/>
        </w:rPr>
        <w:t>metalloporphyrin</w:t>
      </w:r>
      <w:proofErr w:type="spellEnd"/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 structure with tetra-</w:t>
      </w:r>
      <w:proofErr w:type="spellStart"/>
      <w:r w:rsidRPr="00CE0F75">
        <w:rPr>
          <w:rFonts w:ascii="Times New Roman" w:hAnsi="Times New Roman" w:cs="Times New Roman"/>
          <w:color w:val="333333"/>
          <w:sz w:val="24"/>
          <w:szCs w:val="24"/>
        </w:rPr>
        <w:t>pyrrlic</w:t>
      </w:r>
      <w:proofErr w:type="spellEnd"/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 rings having N4 core is chosen for the study. The optimization of </w:t>
      </w:r>
      <w:proofErr w:type="spellStart"/>
      <w:r w:rsidRPr="00CE0F75">
        <w:rPr>
          <w:rFonts w:ascii="Times New Roman" w:hAnsi="Times New Roman" w:cs="Times New Roman"/>
          <w:color w:val="333333"/>
          <w:sz w:val="24"/>
          <w:szCs w:val="24"/>
        </w:rPr>
        <w:t>Porphyrin-Porphyrin</w:t>
      </w:r>
      <w:proofErr w:type="spellEnd"/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 (P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I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>-P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II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) and </w:t>
      </w:r>
      <w:proofErr w:type="spellStart"/>
      <w:r w:rsidRPr="00CE0F75">
        <w:rPr>
          <w:rFonts w:ascii="Times New Roman" w:hAnsi="Times New Roman" w:cs="Times New Roman"/>
          <w:color w:val="333333"/>
          <w:sz w:val="24"/>
          <w:szCs w:val="24"/>
        </w:rPr>
        <w:t>Porphyrin</w:t>
      </w:r>
      <w:proofErr w:type="spellEnd"/>
      <w:r w:rsidRPr="00CE0F75">
        <w:rPr>
          <w:rFonts w:ascii="Times New Roman" w:hAnsi="Times New Roman" w:cs="Times New Roman"/>
          <w:color w:val="333333"/>
          <w:sz w:val="24"/>
          <w:szCs w:val="24"/>
        </w:rPr>
        <w:t>-Diatomic molecule-</w:t>
      </w:r>
      <w:proofErr w:type="spellStart"/>
      <w:r w:rsidRPr="00CE0F75">
        <w:rPr>
          <w:rFonts w:ascii="Times New Roman" w:hAnsi="Times New Roman" w:cs="Times New Roman"/>
          <w:color w:val="333333"/>
          <w:sz w:val="24"/>
          <w:szCs w:val="24"/>
        </w:rPr>
        <w:t>Porphyrin</w:t>
      </w:r>
      <w:proofErr w:type="spellEnd"/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 (P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I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>-AB-P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II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>) (AB = NO, CO, and O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2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) complexes are performed using HF method. In order to understand the planarity and appropriate stacking size of </w:t>
      </w:r>
      <w:proofErr w:type="spellStart"/>
      <w:r w:rsidRPr="00CE0F75">
        <w:rPr>
          <w:rFonts w:ascii="Times New Roman" w:hAnsi="Times New Roman" w:cs="Times New Roman"/>
          <w:color w:val="333333"/>
          <w:sz w:val="24"/>
          <w:szCs w:val="24"/>
        </w:rPr>
        <w:t>porphyrins</w:t>
      </w:r>
      <w:proofErr w:type="spellEnd"/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 and also to infer the separation of diatomic molecules between </w:t>
      </w:r>
      <w:proofErr w:type="spellStart"/>
      <w:r w:rsidRPr="00CE0F75">
        <w:rPr>
          <w:rFonts w:ascii="Times New Roman" w:hAnsi="Times New Roman" w:cs="Times New Roman"/>
          <w:color w:val="333333"/>
          <w:sz w:val="24"/>
          <w:szCs w:val="24"/>
        </w:rPr>
        <w:t>porphyrin</w:t>
      </w:r>
      <w:proofErr w:type="spellEnd"/>
      <w:r w:rsidRPr="00CE0F75">
        <w:rPr>
          <w:rFonts w:ascii="Times New Roman" w:hAnsi="Times New Roman" w:cs="Times New Roman"/>
          <w:color w:val="333333"/>
          <w:sz w:val="24"/>
          <w:szCs w:val="24"/>
        </w:rPr>
        <w:t xml:space="preserve"> layers the behavior of P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I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>-AB-P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II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> complexes (where AB = NO, CO, and O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2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>) are analyzed using structural properties and molecular electrostatic potentials (MEP). The MEPs are calculated using hybrid exchange correlation functional B3PW91 of DFT along with 6-31+G* basis set for the P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I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>-P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II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> and P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I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>-AB-P</w:t>
      </w:r>
      <w:r w:rsidRPr="00CE0F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II</w:t>
      </w:r>
      <w:r w:rsidRPr="00CE0F75">
        <w:rPr>
          <w:rFonts w:ascii="Times New Roman" w:hAnsi="Times New Roman" w:cs="Times New Roman"/>
          <w:color w:val="333333"/>
          <w:sz w:val="24"/>
          <w:szCs w:val="24"/>
        </w:rPr>
        <w:t> complexes obtained from HF method.</w:t>
      </w:r>
    </w:p>
    <w:sectPr w:rsidR="00475187" w:rsidRPr="00CE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E0F75"/>
    <w:rsid w:val="00475187"/>
    <w:rsid w:val="00CE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2020-09-24T05:07:00Z</dcterms:created>
  <dcterms:modified xsi:type="dcterms:W3CDTF">2020-09-24T05:07:00Z</dcterms:modified>
</cp:coreProperties>
</file>