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F40" w:rsidRPr="00140F40" w:rsidRDefault="00140F40" w:rsidP="00140F40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140F40">
        <w:rPr>
          <w:rFonts w:ascii="Times New Roman" w:hAnsi="Times New Roman" w:cs="Times New Roman"/>
          <w:b/>
          <w:color w:val="333333"/>
          <w:sz w:val="32"/>
          <w:szCs w:val="32"/>
        </w:rPr>
        <w:t>Abstract</w:t>
      </w:r>
    </w:p>
    <w:p w:rsidR="00FC4E4F" w:rsidRDefault="00140F40" w:rsidP="00140F40">
      <w:pPr>
        <w:spacing w:line="360" w:lineRule="auto"/>
        <w:jc w:val="both"/>
      </w:pPr>
      <w:r w:rsidRPr="00744341">
        <w:rPr>
          <w:rFonts w:ascii="Times New Roman" w:hAnsi="Times New Roman" w:cs="Times New Roman"/>
          <w:b/>
          <w:color w:val="333333"/>
          <w:sz w:val="24"/>
          <w:szCs w:val="24"/>
        </w:rPr>
        <w:t> </w:t>
      </w:r>
      <w:r w:rsidRPr="00744341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 xml:space="preserve">In this paper, we have introduced the atomic descriptors </w:t>
      </w:r>
      <w:proofErr w:type="gramStart"/>
      <w:r w:rsidRPr="00744341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>s(</w:t>
      </w:r>
      <w:proofErr w:type="gramEnd"/>
      <w:r w:rsidRPr="0074434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CFCFC"/>
        </w:rPr>
        <w:t>f</w:t>
      </w:r>
      <w:r w:rsidRPr="00744341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>)</w:t>
      </w:r>
      <w:r w:rsidRPr="00744341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  <w:vertAlign w:val="subscript"/>
        </w:rPr>
        <w:t> </w:t>
      </w:r>
      <w:r w:rsidRPr="0074434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CFCFC"/>
          <w:vertAlign w:val="subscript"/>
        </w:rPr>
        <w:t>k</w:t>
      </w:r>
      <w:r w:rsidRPr="00744341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  <w:vertAlign w:val="subscript"/>
        </w:rPr>
        <w:t> </w:t>
      </w:r>
      <w:r w:rsidRPr="00744341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 xml:space="preserve">to determine the local reactive sites of the molecular systems during </w:t>
      </w:r>
      <w:proofErr w:type="spellStart"/>
      <w:r w:rsidRPr="00744341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>electrophilic</w:t>
      </w:r>
      <w:proofErr w:type="spellEnd"/>
      <w:r w:rsidRPr="00744341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 xml:space="preserve">, </w:t>
      </w:r>
      <w:proofErr w:type="spellStart"/>
      <w:r w:rsidRPr="00744341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>nucleophilic</w:t>
      </w:r>
      <w:proofErr w:type="spellEnd"/>
      <w:r w:rsidRPr="00744341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 xml:space="preserve"> and radical attacks. The condensed Fukui function and the newly introduced condensed atomic descriptor have been calculated for six different systems, namely </w:t>
      </w:r>
      <w:proofErr w:type="spellStart"/>
      <w:r w:rsidRPr="00744341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>glycine</w:t>
      </w:r>
      <w:proofErr w:type="spellEnd"/>
      <w:r w:rsidRPr="00744341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 xml:space="preserve">, </w:t>
      </w:r>
      <w:proofErr w:type="spellStart"/>
      <w:r w:rsidRPr="00744341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>alanine</w:t>
      </w:r>
      <w:proofErr w:type="spellEnd"/>
      <w:r w:rsidRPr="00744341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>, aniline, BH</w:t>
      </w:r>
      <w:r w:rsidRPr="00744341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  <w:vertAlign w:val="subscript"/>
        </w:rPr>
        <w:t>2</w:t>
      </w:r>
      <w:r w:rsidRPr="00744341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>Cl</w:t>
      </w:r>
      <w:proofErr w:type="gramStart"/>
      <w:r w:rsidRPr="00744341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>,</w:t>
      </w:r>
      <w:r w:rsidRPr="0074434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CFCFC"/>
        </w:rPr>
        <w:t>trans</w:t>
      </w:r>
      <w:proofErr w:type="gramEnd"/>
      <w:r w:rsidRPr="00744341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 xml:space="preserve">-FC(O)OF </w:t>
      </w:r>
      <w:proofErr w:type="spellStart"/>
      <w:r w:rsidRPr="00744341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>and</w:t>
      </w:r>
      <w:r w:rsidRPr="0074434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CFCFC"/>
        </w:rPr>
        <w:t>m</w:t>
      </w:r>
      <w:r w:rsidRPr="00744341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>-anisidine</w:t>
      </w:r>
      <w:proofErr w:type="spellEnd"/>
      <w:r w:rsidRPr="00744341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>. The individual atomic charges (gross charge) calculated by the MPA scheme have been used to calculate the condensed Fukui functions (</w:t>
      </w:r>
      <w:r w:rsidRPr="0074434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CFCFC"/>
        </w:rPr>
        <w:t>f</w:t>
      </w:r>
      <w:r w:rsidRPr="00744341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> </w:t>
      </w:r>
      <w:r w:rsidRPr="00744341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  <w:vertAlign w:val="subscript"/>
        </w:rPr>
        <w:t>k</w:t>
      </w:r>
      <w:r w:rsidRPr="00744341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>) and the newly derived condensed atomic descriptors (</w:t>
      </w:r>
      <w:proofErr w:type="spellStart"/>
      <w:r w:rsidRPr="00744341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>sf</w:t>
      </w:r>
      <w:proofErr w:type="spellEnd"/>
      <w:r w:rsidRPr="00744341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>)</w:t>
      </w:r>
      <w:proofErr w:type="spellStart"/>
      <w:r w:rsidRPr="00744341">
        <w:rPr>
          <w:rStyle w:val="c-stack"/>
          <w:rFonts w:ascii="Times New Roman" w:hAnsi="Times New Roman" w:cs="Times New Roman"/>
          <w:color w:val="333333"/>
          <w:sz w:val="24"/>
          <w:szCs w:val="24"/>
          <w:shd w:val="clear" w:color="auto" w:fill="FCFCFC"/>
          <w:vertAlign w:val="superscript"/>
        </w:rPr>
        <w:t>α</w:t>
      </w:r>
      <w:r w:rsidRPr="00744341">
        <w:rPr>
          <w:rStyle w:val="c-stack"/>
          <w:rFonts w:ascii="Times New Roman" w:hAnsi="Times New Roman" w:cs="Times New Roman"/>
          <w:color w:val="333333"/>
          <w:sz w:val="24"/>
          <w:szCs w:val="24"/>
          <w:shd w:val="clear" w:color="auto" w:fill="FCFCFC"/>
          <w:vertAlign w:val="subscript"/>
        </w:rPr>
        <w:t>k</w:t>
      </w:r>
      <w:proofErr w:type="spellEnd"/>
      <w:r w:rsidRPr="00744341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 xml:space="preserve"> at B1-DZP level of theory. We carried out the calculation using the “stockholders” charge partitioning technique (i.e., </w:t>
      </w:r>
      <w:proofErr w:type="spellStart"/>
      <w:r w:rsidRPr="00744341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>Hirshfeld</w:t>
      </w:r>
      <w:proofErr w:type="spellEnd"/>
      <w:r w:rsidRPr="00744341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 xml:space="preserve"> population scheme). The newly derived quantity gives the same reactive sites as the condensed Fukui functions, and the complexities associated with the negative Fukui functions are removed.</w:t>
      </w:r>
    </w:p>
    <w:sectPr w:rsidR="00FC4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140F40"/>
    <w:rsid w:val="00140F40"/>
    <w:rsid w:val="00FC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-stack">
    <w:name w:val="c-stack"/>
    <w:basedOn w:val="DefaultParagraphFont"/>
    <w:rsid w:val="00140F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2020-09-24T06:22:00Z</dcterms:created>
  <dcterms:modified xsi:type="dcterms:W3CDTF">2020-09-24T06:22:00Z</dcterms:modified>
</cp:coreProperties>
</file>