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75" w:rsidRPr="00280E75" w:rsidRDefault="00280E75" w:rsidP="00280E7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80E75">
        <w:rPr>
          <w:rFonts w:ascii="Times New Roman" w:hAnsi="Times New Roman"/>
          <w:b/>
          <w:sz w:val="32"/>
          <w:szCs w:val="32"/>
        </w:rPr>
        <w:t>A</w:t>
      </w:r>
      <w:r w:rsidRPr="00280E75">
        <w:rPr>
          <w:rFonts w:ascii="Times New Roman" w:eastAsia="Times New Roman" w:hAnsi="Times New Roman"/>
          <w:b/>
          <w:sz w:val="32"/>
          <w:szCs w:val="32"/>
        </w:rPr>
        <w:t>bstract</w:t>
      </w:r>
    </w:p>
    <w:p w:rsidR="00A93B11" w:rsidRPr="00280E75" w:rsidRDefault="00280E75" w:rsidP="00280E75">
      <w:pPr>
        <w:jc w:val="both"/>
        <w:rPr>
          <w:sz w:val="28"/>
          <w:szCs w:val="28"/>
        </w:rPr>
      </w:pPr>
      <w:r w:rsidRPr="00280E75">
        <w:rPr>
          <w:sz w:val="28"/>
          <w:szCs w:val="28"/>
        </w:rPr>
        <w:t xml:space="preserve">Over the past five decades, there has been an increasing demand for inexpensive, accurate, portable and reliable gas sensors. Gas sensors </w:t>
      </w:r>
      <w:proofErr w:type="spellStart"/>
      <w:r w:rsidRPr="00280E75">
        <w:rPr>
          <w:sz w:val="28"/>
          <w:szCs w:val="28"/>
        </w:rPr>
        <w:t>canbeusedtodetect</w:t>
      </w:r>
      <w:proofErr w:type="spellEnd"/>
      <w:r w:rsidRPr="00280E75">
        <w:rPr>
          <w:sz w:val="28"/>
          <w:szCs w:val="28"/>
        </w:rPr>
        <w:t> </w:t>
      </w:r>
      <w:hyperlink r:id="rId4" w:tooltip="Combustible" w:history="1">
        <w:proofErr w:type="gramStart"/>
        <w:r w:rsidRPr="00280E75">
          <w:rPr>
            <w:rStyle w:val="Hyperlink"/>
            <w:sz w:val="28"/>
            <w:szCs w:val="28"/>
          </w:rPr>
          <w:t>combustible</w:t>
        </w:r>
      </w:hyperlink>
      <w:r w:rsidRPr="00280E75">
        <w:rPr>
          <w:sz w:val="28"/>
          <w:szCs w:val="28"/>
        </w:rPr>
        <w:t>, </w:t>
      </w:r>
      <w:hyperlink r:id="rId5" w:tooltip="Flammable" w:history="1">
        <w:r w:rsidRPr="00280E75">
          <w:rPr>
            <w:rStyle w:val="Hyperlink"/>
            <w:sz w:val="28"/>
            <w:szCs w:val="28"/>
          </w:rPr>
          <w:t>flammable</w:t>
        </w:r>
      </w:hyperlink>
      <w:r w:rsidRPr="00280E75">
        <w:rPr>
          <w:sz w:val="28"/>
          <w:szCs w:val="28"/>
        </w:rPr>
        <w:t> and </w:t>
      </w:r>
      <w:hyperlink r:id="rId6" w:tooltip="Toxic" w:history="1">
        <w:r w:rsidRPr="00280E75">
          <w:rPr>
            <w:rStyle w:val="Hyperlink"/>
            <w:sz w:val="28"/>
            <w:szCs w:val="28"/>
          </w:rPr>
          <w:t>toxic</w:t>
        </w:r>
      </w:hyperlink>
      <w:r w:rsidRPr="00280E75">
        <w:rPr>
          <w:sz w:val="28"/>
          <w:szCs w:val="28"/>
        </w:rPr>
        <w:t> gases, and </w:t>
      </w:r>
      <w:hyperlink r:id="rId7" w:tooltip="Oxygen" w:history="1">
        <w:r w:rsidRPr="00280E75">
          <w:rPr>
            <w:rStyle w:val="Hyperlink"/>
            <w:sz w:val="28"/>
            <w:szCs w:val="28"/>
          </w:rPr>
          <w:t>oxygen</w:t>
        </w:r>
      </w:hyperlink>
      <w:proofErr w:type="gramEnd"/>
      <w:r w:rsidRPr="00280E75">
        <w:rPr>
          <w:sz w:val="28"/>
          <w:szCs w:val="28"/>
        </w:rPr>
        <w:t xml:space="preserve"> depletion. Typically, gases of interest include CO, NO, NO2, NH4, SO2, CO2, CH4 and other hydrocarbons. These gases can be harmful to human health if present beyond a certain </w:t>
      </w:r>
      <w:proofErr w:type="spellStart"/>
      <w:r w:rsidRPr="00280E75">
        <w:rPr>
          <w:sz w:val="28"/>
          <w:szCs w:val="28"/>
        </w:rPr>
        <w:t>concentration.Among</w:t>
      </w:r>
      <w:proofErr w:type="spellEnd"/>
      <w:r w:rsidRPr="00280E75">
        <w:rPr>
          <w:sz w:val="28"/>
          <w:szCs w:val="28"/>
        </w:rPr>
        <w:t xml:space="preserve"> various metal oxide semiconductors</w:t>
      </w:r>
      <w:proofErr w:type="gramStart"/>
      <w:r w:rsidRPr="00280E75">
        <w:rPr>
          <w:sz w:val="28"/>
          <w:szCs w:val="28"/>
        </w:rPr>
        <w:t>,  p</w:t>
      </w:r>
      <w:proofErr w:type="gramEnd"/>
      <w:r w:rsidRPr="00280E75">
        <w:rPr>
          <w:sz w:val="28"/>
          <w:szCs w:val="28"/>
        </w:rPr>
        <w:t>-type Cobalt oxide semiconductors are excellent materials for fabricating highly sensitive and selective gas sensors of high-</w:t>
      </w:r>
      <w:proofErr w:type="spellStart"/>
      <w:r w:rsidRPr="00280E75">
        <w:rPr>
          <w:sz w:val="28"/>
          <w:szCs w:val="28"/>
        </w:rPr>
        <w:t>performance.In</w:t>
      </w:r>
      <w:proofErr w:type="spellEnd"/>
      <w:r w:rsidRPr="00280E75">
        <w:rPr>
          <w:sz w:val="28"/>
          <w:szCs w:val="28"/>
        </w:rPr>
        <w:t xml:space="preserve"> this study, a novel and low cost chemical route  has been developed to synthesize  Co3O4 nanostructures. The efficiency of Co3O4 </w:t>
      </w:r>
      <w:proofErr w:type="spellStart"/>
      <w:r w:rsidRPr="00280E75">
        <w:rPr>
          <w:sz w:val="28"/>
          <w:szCs w:val="28"/>
        </w:rPr>
        <w:t>nanomaterials</w:t>
      </w:r>
      <w:proofErr w:type="spellEnd"/>
      <w:r w:rsidRPr="00280E75">
        <w:rPr>
          <w:sz w:val="28"/>
          <w:szCs w:val="28"/>
        </w:rPr>
        <w:t xml:space="preserve"> is improved by means of </w:t>
      </w:r>
      <w:proofErr w:type="spellStart"/>
      <w:r w:rsidRPr="00280E75">
        <w:rPr>
          <w:sz w:val="28"/>
          <w:szCs w:val="28"/>
        </w:rPr>
        <w:t>introducingn</w:t>
      </w:r>
      <w:proofErr w:type="spellEnd"/>
      <w:r w:rsidRPr="00280E75">
        <w:rPr>
          <w:sz w:val="28"/>
          <w:szCs w:val="28"/>
        </w:rPr>
        <w:t xml:space="preserve">-type </w:t>
      </w:r>
      <w:proofErr w:type="spellStart"/>
      <w:r w:rsidRPr="00280E75">
        <w:rPr>
          <w:sz w:val="28"/>
          <w:szCs w:val="28"/>
        </w:rPr>
        <w:t>dopants</w:t>
      </w:r>
      <w:proofErr w:type="spellEnd"/>
      <w:r w:rsidRPr="00280E75">
        <w:rPr>
          <w:sz w:val="28"/>
          <w:szCs w:val="28"/>
        </w:rPr>
        <w:t xml:space="preserve">. The synthesized </w:t>
      </w:r>
      <w:proofErr w:type="spellStart"/>
      <w:r w:rsidRPr="00280E75">
        <w:rPr>
          <w:sz w:val="28"/>
          <w:szCs w:val="28"/>
        </w:rPr>
        <w:t>nanomaterials</w:t>
      </w:r>
      <w:proofErr w:type="spellEnd"/>
      <w:r w:rsidRPr="00280E75">
        <w:rPr>
          <w:sz w:val="28"/>
          <w:szCs w:val="28"/>
        </w:rPr>
        <w:t xml:space="preserve"> were characterized  by different characterization techniques like UV double beam spectrophotometer, X-ray diffraction (XRD), Photoluminescence (PL), Fourier Transform Infrared Spectroscopy (FTIR), Scanning Electron Microscopy (SEM) </w:t>
      </w:r>
      <w:proofErr w:type="spellStart"/>
      <w:r w:rsidRPr="00280E75">
        <w:rPr>
          <w:sz w:val="28"/>
          <w:szCs w:val="28"/>
        </w:rPr>
        <w:t>andEnergy</w:t>
      </w:r>
      <w:proofErr w:type="spellEnd"/>
      <w:r w:rsidRPr="00280E75">
        <w:rPr>
          <w:sz w:val="28"/>
          <w:szCs w:val="28"/>
        </w:rPr>
        <w:t xml:space="preserve"> Dispersive X-ray analysis (EDAX).The Cobalt oxide </w:t>
      </w:r>
      <w:proofErr w:type="spellStart"/>
      <w:r w:rsidRPr="00280E75">
        <w:rPr>
          <w:sz w:val="28"/>
          <w:szCs w:val="28"/>
        </w:rPr>
        <w:t>nanomaterials</w:t>
      </w:r>
      <w:proofErr w:type="spellEnd"/>
      <w:r w:rsidRPr="00280E75">
        <w:rPr>
          <w:sz w:val="28"/>
          <w:szCs w:val="28"/>
        </w:rPr>
        <w:t xml:space="preserve"> could have a good response and high sensitivity to CO gas at room temperature.</w:t>
      </w:r>
    </w:p>
    <w:sectPr w:rsidR="00A93B11" w:rsidRPr="0028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80E75"/>
    <w:rsid w:val="00280E75"/>
    <w:rsid w:val="00A9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E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80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Oxy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oxic" TargetMode="External"/><Relationship Id="rId5" Type="http://schemas.openxmlformats.org/officeDocument/2006/relationships/hyperlink" Target="https://en.wikipedia.org/wiki/Flammable" TargetMode="External"/><Relationship Id="rId4" Type="http://schemas.openxmlformats.org/officeDocument/2006/relationships/hyperlink" Target="https://en.wikipedia.org/wiki/Combustib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2020-09-26T03:58:00Z</dcterms:created>
  <dcterms:modified xsi:type="dcterms:W3CDTF">2020-09-26T03:59:00Z</dcterms:modified>
</cp:coreProperties>
</file>