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0" w:rsidRPr="00716840" w:rsidRDefault="00716840" w:rsidP="00716840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1684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805406" w:rsidRDefault="00716840" w:rsidP="00716840">
      <w:pPr>
        <w:spacing w:line="360" w:lineRule="auto"/>
        <w:jc w:val="both"/>
      </w:pPr>
      <w:proofErr w:type="gram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Hybrid  PVA</w:t>
      </w:r>
      <w:proofErr w:type="gram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1596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In</w:t>
      </w:r>
      <w:r w:rsidRPr="00D1596F">
        <w:rPr>
          <w:rFonts w:ascii="Times New Roman" w:eastAsia="Times New Roman" w:hAnsi="Times New Roman"/>
          <w:color w:val="000000"/>
          <w:spacing w:val="6"/>
          <w:position w:val="-12"/>
          <w:sz w:val="28"/>
          <w:szCs w:val="28"/>
        </w:rPr>
        <w:t>2</w:t>
      </w:r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Pr="00D1596F">
        <w:rPr>
          <w:rFonts w:ascii="Times New Roman" w:eastAsia="Times New Roman" w:hAnsi="Times New Roman"/>
          <w:color w:val="000000"/>
          <w:spacing w:val="6"/>
          <w:position w:val="-12"/>
          <w:sz w:val="28"/>
          <w:szCs w:val="28"/>
        </w:rPr>
        <w:t>3</w:t>
      </w:r>
      <w:proofErr w:type="spell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transparentnano</w:t>
      </w:r>
      <w:proofErr w:type="spell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thin  </w:t>
      </w:r>
      <w:r w:rsidRPr="00D1596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film</w:t>
      </w:r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(293 nm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 was prepared by very  simple </w:t>
      </w:r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and cost effective  dip coating method. The effect of annealing temperature on the functional group, structure, morphology and optical properties w</w:t>
      </w:r>
      <w:r w:rsidRPr="00D1596F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as</w:t>
      </w:r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investigated. The presence of metal-oxide (In-O) bond was confirmed from Fourier transform infrared spectroscopy. X-ray diffraction patterns revealed the predominantly amorphous in nature of the films.  Scanning electron microscopy images revealed </w:t>
      </w:r>
      <w:proofErr w:type="gram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spherical  shaped</w:t>
      </w:r>
      <w:proofErr w:type="gram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uniform  grains distributed  over the entire film surface. </w:t>
      </w:r>
      <w:proofErr w:type="gram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The  sizes</w:t>
      </w:r>
      <w:proofErr w:type="gram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of the grains  increased with increase of annealing temperature. The percentage of transmittance </w:t>
      </w:r>
      <w:r w:rsidRPr="00D1596F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(8</w:t>
      </w:r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0 to 90%) increases whereas band gap energy (3.80 to 3.76 </w:t>
      </w:r>
      <w:proofErr w:type="spell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eV</w:t>
      </w:r>
      <w:proofErr w:type="spell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) values decreases with increase of annealing temperature. The obtained results indicated that the amorphous nature and high </w:t>
      </w:r>
      <w:proofErr w:type="gram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transmittance  with</w:t>
      </w:r>
      <w:proofErr w:type="gram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wide band gap of  the prepared transparent hybrid </w:t>
      </w:r>
      <w:proofErr w:type="spell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nano</w:t>
      </w:r>
      <w:proofErr w:type="spell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thin films indicated the feasibility of utilizing these </w:t>
      </w:r>
      <w:proofErr w:type="spellStart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>nano</w:t>
      </w:r>
      <w:proofErr w:type="spellEnd"/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thin films </w:t>
      </w:r>
      <w:r w:rsidRPr="00D1596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in</w:t>
      </w:r>
      <w:r w:rsidRPr="00D1596F">
        <w:rPr>
          <w:rFonts w:ascii="Times New Roman" w:eastAsia="Times New Roman" w:hAnsi="Times New Roman"/>
          <w:color w:val="000000"/>
          <w:sz w:val="28"/>
          <w:szCs w:val="28"/>
        </w:rPr>
        <w:t xml:space="preserve"> transparent optical device applications.</w:t>
      </w:r>
    </w:p>
    <w:sectPr w:rsidR="0080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16840"/>
    <w:rsid w:val="00716840"/>
    <w:rsid w:val="0080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2020-09-26T07:28:00Z</dcterms:created>
  <dcterms:modified xsi:type="dcterms:W3CDTF">2020-09-26T07:29:00Z</dcterms:modified>
</cp:coreProperties>
</file>