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FC" w:rsidRPr="009634FC" w:rsidRDefault="009634FC" w:rsidP="009634FC">
      <w:pPr>
        <w:spacing w:after="183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9634FC">
        <w:rPr>
          <w:rFonts w:ascii="Times New Roman" w:eastAsia="Times New Roman" w:hAnsi="Times New Roman"/>
          <w:b/>
          <w:bCs/>
          <w:sz w:val="32"/>
          <w:szCs w:val="32"/>
        </w:rPr>
        <w:t>Abstract</w:t>
      </w:r>
    </w:p>
    <w:p w:rsidR="00C81E63" w:rsidRDefault="009634FC" w:rsidP="009634FC">
      <w:pPr>
        <w:spacing w:line="360" w:lineRule="auto"/>
        <w:jc w:val="both"/>
      </w:pPr>
      <w:r w:rsidRPr="00587E0A">
        <w:rPr>
          <w:rFonts w:ascii="Times New Roman" w:hAnsi="Times New Roman"/>
          <w:sz w:val="24"/>
          <w:szCs w:val="24"/>
        </w:rPr>
        <w:t xml:space="preserve">In the present work </w:t>
      </w:r>
      <w:proofErr w:type="spellStart"/>
      <w:r w:rsidRPr="00587E0A">
        <w:rPr>
          <w:rFonts w:ascii="Times New Roman" w:hAnsi="Times New Roman"/>
          <w:sz w:val="24"/>
          <w:szCs w:val="24"/>
        </w:rPr>
        <w:t>photocatalytic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and </w:t>
      </w:r>
      <w:proofErr w:type="spellStart"/>
      <w:r w:rsidRPr="00587E0A">
        <w:rPr>
          <w:rFonts w:ascii="Times New Roman" w:hAnsi="Times New Roman"/>
          <w:sz w:val="24"/>
          <w:szCs w:val="24"/>
        </w:rPr>
        <w:fldChar w:fldCharType="begin"/>
      </w:r>
      <w:r w:rsidRPr="00587E0A">
        <w:rPr>
          <w:rFonts w:ascii="Times New Roman" w:hAnsi="Times New Roman"/>
          <w:sz w:val="24"/>
          <w:szCs w:val="24"/>
        </w:rPr>
        <w:instrText xml:space="preserve"> HYPERLINK "https://www.sciencedirect.com/topics/chemistry/electrocatalytic-activity" \o "Learn more about Electrocatalytic Activity from ScienceDirect's AI-generated Topic Pages" </w:instrText>
      </w:r>
      <w:r w:rsidRPr="00587E0A">
        <w:rPr>
          <w:rFonts w:ascii="Times New Roman" w:hAnsi="Times New Roman"/>
          <w:sz w:val="24"/>
          <w:szCs w:val="24"/>
        </w:rPr>
        <w:fldChar w:fldCharType="separate"/>
      </w:r>
      <w:r w:rsidRPr="00587E0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electrocatalytic</w:t>
      </w:r>
      <w:proofErr w:type="spellEnd"/>
      <w:r w:rsidRPr="00587E0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activity</w:t>
      </w:r>
      <w:r w:rsidRPr="00587E0A">
        <w:rPr>
          <w:rFonts w:ascii="Times New Roman" w:hAnsi="Times New Roman"/>
          <w:sz w:val="24"/>
          <w:szCs w:val="24"/>
        </w:rPr>
        <w:fldChar w:fldCharType="end"/>
      </w:r>
      <w:r w:rsidRPr="00587E0A">
        <w:rPr>
          <w:rFonts w:ascii="Times New Roman" w:hAnsi="Times New Roman"/>
          <w:sz w:val="24"/>
          <w:szCs w:val="24"/>
        </w:rPr>
        <w:t> of CTS-GO and CTS-</w:t>
      </w:r>
      <w:proofErr w:type="spellStart"/>
      <w:r w:rsidRPr="00587E0A">
        <w:rPr>
          <w:rFonts w:ascii="Times New Roman" w:hAnsi="Times New Roman"/>
          <w:sz w:val="24"/>
          <w:szCs w:val="24"/>
        </w:rPr>
        <w:t>rGO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composites synthesized by </w:t>
      </w:r>
      <w:hyperlink r:id="rId4" w:tooltip="Learn more about Ball Milling from ScienceDirect's AI-generated Topic Pages" w:history="1">
        <w:r w:rsidRPr="00587E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ball milling</w:t>
        </w:r>
      </w:hyperlink>
      <w:r w:rsidRPr="00587E0A">
        <w:rPr>
          <w:rFonts w:ascii="Times New Roman" w:hAnsi="Times New Roman"/>
          <w:sz w:val="24"/>
          <w:szCs w:val="24"/>
        </w:rPr>
        <w:t> method has been studied. The as synthesized composites were characterized for their structural, morphological and </w:t>
      </w:r>
      <w:hyperlink r:id="rId5" w:tooltip="Learn more about Optical Property from ScienceDirect's AI-generated Topic Pages" w:history="1">
        <w:r w:rsidRPr="00587E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optical properties</w:t>
        </w:r>
      </w:hyperlink>
      <w:r w:rsidRPr="00587E0A">
        <w:rPr>
          <w:rFonts w:ascii="Times New Roman" w:hAnsi="Times New Roman"/>
          <w:sz w:val="24"/>
          <w:szCs w:val="24"/>
        </w:rPr>
        <w:t>. Compared to as prepared (Cu</w:t>
      </w:r>
      <w:r w:rsidRPr="00587E0A">
        <w:rPr>
          <w:rFonts w:ascii="Times New Roman" w:hAnsi="Times New Roman"/>
          <w:sz w:val="24"/>
          <w:szCs w:val="24"/>
          <w:vertAlign w:val="subscript"/>
        </w:rPr>
        <w:t>3</w:t>
      </w:r>
      <w:r w:rsidRPr="00587E0A">
        <w:rPr>
          <w:rFonts w:ascii="Times New Roman" w:hAnsi="Times New Roman"/>
          <w:sz w:val="24"/>
          <w:szCs w:val="24"/>
        </w:rPr>
        <w:t>SnS</w:t>
      </w:r>
      <w:r w:rsidRPr="00587E0A">
        <w:rPr>
          <w:rFonts w:ascii="Times New Roman" w:hAnsi="Times New Roman"/>
          <w:sz w:val="24"/>
          <w:szCs w:val="24"/>
          <w:vertAlign w:val="subscript"/>
        </w:rPr>
        <w:t>4</w:t>
      </w:r>
      <w:r w:rsidRPr="00587E0A">
        <w:rPr>
          <w:rFonts w:ascii="Times New Roman" w:hAnsi="Times New Roman"/>
          <w:sz w:val="24"/>
          <w:szCs w:val="24"/>
        </w:rPr>
        <w:t>) CTS; (Cu</w:t>
      </w:r>
      <w:r w:rsidRPr="00587E0A">
        <w:rPr>
          <w:rFonts w:ascii="Times New Roman" w:hAnsi="Times New Roman"/>
          <w:sz w:val="24"/>
          <w:szCs w:val="24"/>
          <w:vertAlign w:val="subscript"/>
        </w:rPr>
        <w:t>3</w:t>
      </w:r>
      <w:r w:rsidRPr="00587E0A">
        <w:rPr>
          <w:rFonts w:ascii="Times New Roman" w:hAnsi="Times New Roman"/>
          <w:sz w:val="24"/>
          <w:szCs w:val="24"/>
        </w:rPr>
        <w:t>SnS</w:t>
      </w:r>
      <w:r w:rsidRPr="00587E0A">
        <w:rPr>
          <w:rFonts w:ascii="Times New Roman" w:hAnsi="Times New Roman"/>
          <w:sz w:val="24"/>
          <w:szCs w:val="24"/>
          <w:vertAlign w:val="subscript"/>
        </w:rPr>
        <w:t>4</w:t>
      </w:r>
      <w:r w:rsidRPr="00587E0A">
        <w:rPr>
          <w:rFonts w:ascii="Times New Roman" w:hAnsi="Times New Roman"/>
          <w:sz w:val="24"/>
          <w:szCs w:val="24"/>
        </w:rPr>
        <w:t>-Graphene Oxide) CTS-GO and (Cu</w:t>
      </w:r>
      <w:r w:rsidRPr="00587E0A">
        <w:rPr>
          <w:rFonts w:ascii="Times New Roman" w:hAnsi="Times New Roman"/>
          <w:sz w:val="24"/>
          <w:szCs w:val="24"/>
          <w:vertAlign w:val="subscript"/>
        </w:rPr>
        <w:t>3</w:t>
      </w:r>
      <w:r w:rsidRPr="00587E0A">
        <w:rPr>
          <w:rFonts w:ascii="Times New Roman" w:hAnsi="Times New Roman"/>
          <w:sz w:val="24"/>
          <w:szCs w:val="24"/>
        </w:rPr>
        <w:t>SnS</w:t>
      </w:r>
      <w:r w:rsidRPr="00587E0A">
        <w:rPr>
          <w:rFonts w:ascii="Times New Roman" w:hAnsi="Times New Roman"/>
          <w:sz w:val="24"/>
          <w:szCs w:val="24"/>
          <w:vertAlign w:val="subscript"/>
        </w:rPr>
        <w:t>4</w:t>
      </w:r>
      <w:r w:rsidRPr="00587E0A">
        <w:rPr>
          <w:rFonts w:ascii="Times New Roman" w:hAnsi="Times New Roman"/>
          <w:sz w:val="24"/>
          <w:szCs w:val="24"/>
        </w:rPr>
        <w:t xml:space="preserve">-reduced </w:t>
      </w:r>
      <w:proofErr w:type="spellStart"/>
      <w:r w:rsidRPr="00587E0A">
        <w:rPr>
          <w:rFonts w:ascii="Times New Roman" w:hAnsi="Times New Roman"/>
          <w:sz w:val="24"/>
          <w:szCs w:val="24"/>
        </w:rPr>
        <w:t>Graphene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Oxide) CTS-</w:t>
      </w:r>
      <w:proofErr w:type="spellStart"/>
      <w:r w:rsidRPr="00587E0A">
        <w:rPr>
          <w:rFonts w:ascii="Times New Roman" w:hAnsi="Times New Roman"/>
          <w:sz w:val="24"/>
          <w:szCs w:val="24"/>
        </w:rPr>
        <w:t>rGO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composites showed enhanced </w:t>
      </w:r>
      <w:proofErr w:type="spellStart"/>
      <w:r w:rsidRPr="00587E0A">
        <w:rPr>
          <w:rFonts w:ascii="Times New Roman" w:hAnsi="Times New Roman"/>
          <w:sz w:val="24"/>
          <w:szCs w:val="24"/>
        </w:rPr>
        <w:t>electrocatalytic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and </w:t>
      </w:r>
      <w:proofErr w:type="spellStart"/>
      <w:r w:rsidRPr="00587E0A">
        <w:rPr>
          <w:rFonts w:ascii="Times New Roman" w:hAnsi="Times New Roman"/>
          <w:sz w:val="24"/>
          <w:szCs w:val="24"/>
        </w:rPr>
        <w:fldChar w:fldCharType="begin"/>
      </w:r>
      <w:r w:rsidRPr="00587E0A">
        <w:rPr>
          <w:rFonts w:ascii="Times New Roman" w:hAnsi="Times New Roman"/>
          <w:sz w:val="24"/>
          <w:szCs w:val="24"/>
        </w:rPr>
        <w:instrText xml:space="preserve"> HYPERLINK "https://www.sciencedirect.com/topics/chemistry/photocatalytic-activity" \o "Learn more about Photocatalytic Activity from ScienceDirect's AI-generated Topic Pages" </w:instrText>
      </w:r>
      <w:r w:rsidRPr="00587E0A">
        <w:rPr>
          <w:rFonts w:ascii="Times New Roman" w:hAnsi="Times New Roman"/>
          <w:sz w:val="24"/>
          <w:szCs w:val="24"/>
        </w:rPr>
        <w:fldChar w:fldCharType="separate"/>
      </w:r>
      <w:r w:rsidRPr="00587E0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photocatalytic</w:t>
      </w:r>
      <w:proofErr w:type="spellEnd"/>
      <w:r w:rsidRPr="00587E0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activity</w:t>
      </w:r>
      <w:r w:rsidRPr="00587E0A">
        <w:rPr>
          <w:rFonts w:ascii="Times New Roman" w:hAnsi="Times New Roman"/>
          <w:sz w:val="24"/>
          <w:szCs w:val="24"/>
        </w:rPr>
        <w:fldChar w:fldCharType="end"/>
      </w:r>
      <w:r w:rsidRPr="00587E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7E0A">
        <w:rPr>
          <w:rFonts w:ascii="Times New Roman" w:hAnsi="Times New Roman"/>
          <w:sz w:val="24"/>
          <w:szCs w:val="24"/>
        </w:rPr>
        <w:t>Electrocatalytic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activity experiments demonstrated that the CTS-GO and CTS-</w:t>
      </w:r>
      <w:proofErr w:type="spellStart"/>
      <w:r w:rsidRPr="00587E0A">
        <w:rPr>
          <w:rFonts w:ascii="Times New Roman" w:hAnsi="Times New Roman"/>
          <w:sz w:val="24"/>
          <w:szCs w:val="24"/>
        </w:rPr>
        <w:t>rGO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composites exhibited large cathode current density, small </w:t>
      </w:r>
      <w:proofErr w:type="spellStart"/>
      <w:r w:rsidRPr="00587E0A">
        <w:rPr>
          <w:rFonts w:ascii="Times New Roman" w:hAnsi="Times New Roman"/>
          <w:sz w:val="24"/>
          <w:szCs w:val="24"/>
        </w:rPr>
        <w:t>Tafel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slope and high stability in acidic medium. The </w:t>
      </w:r>
      <w:proofErr w:type="spellStart"/>
      <w:r w:rsidRPr="00587E0A">
        <w:rPr>
          <w:rFonts w:ascii="Times New Roman" w:hAnsi="Times New Roman"/>
          <w:sz w:val="24"/>
          <w:szCs w:val="24"/>
        </w:rPr>
        <w:t>photocatalytic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activity of CTS-GO and CTS-</w:t>
      </w:r>
      <w:proofErr w:type="spellStart"/>
      <w:r w:rsidRPr="00587E0A">
        <w:rPr>
          <w:rFonts w:ascii="Times New Roman" w:hAnsi="Times New Roman"/>
          <w:sz w:val="24"/>
          <w:szCs w:val="24"/>
        </w:rPr>
        <w:t>rGO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composites under the irradiation of visible light was evaluated by determining the degradation of </w:t>
      </w:r>
      <w:proofErr w:type="spellStart"/>
      <w:r w:rsidRPr="00587E0A">
        <w:rPr>
          <w:rFonts w:ascii="Times New Roman" w:hAnsi="Times New Roman"/>
          <w:sz w:val="24"/>
          <w:szCs w:val="24"/>
        </w:rPr>
        <w:fldChar w:fldCharType="begin"/>
      </w:r>
      <w:r w:rsidRPr="00587E0A">
        <w:rPr>
          <w:rFonts w:ascii="Times New Roman" w:hAnsi="Times New Roman"/>
          <w:sz w:val="24"/>
          <w:szCs w:val="24"/>
        </w:rPr>
        <w:instrText xml:space="preserve"> HYPERLINK "https://www.sciencedirect.com/topics/chemistry/methylene-blue" \o "Learn more about Methylene Blue from ScienceDirect's AI-generated Topic Pages" </w:instrText>
      </w:r>
      <w:r w:rsidRPr="00587E0A">
        <w:rPr>
          <w:rFonts w:ascii="Times New Roman" w:hAnsi="Times New Roman"/>
          <w:sz w:val="24"/>
          <w:szCs w:val="24"/>
        </w:rPr>
        <w:fldChar w:fldCharType="separate"/>
      </w:r>
      <w:r w:rsidRPr="00587E0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methylene</w:t>
      </w:r>
      <w:proofErr w:type="spellEnd"/>
      <w:r w:rsidRPr="00587E0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blue</w:t>
      </w:r>
      <w:r w:rsidRPr="00587E0A">
        <w:rPr>
          <w:rFonts w:ascii="Times New Roman" w:hAnsi="Times New Roman"/>
          <w:sz w:val="24"/>
          <w:szCs w:val="24"/>
        </w:rPr>
        <w:fldChar w:fldCharType="end"/>
      </w:r>
      <w:r w:rsidRPr="00587E0A">
        <w:rPr>
          <w:rFonts w:ascii="Times New Roman" w:hAnsi="Times New Roman"/>
          <w:sz w:val="24"/>
          <w:szCs w:val="24"/>
        </w:rPr>
        <w:t> (MB). The CTS-GO and CTS-</w:t>
      </w:r>
      <w:proofErr w:type="spellStart"/>
      <w:r w:rsidRPr="00587E0A">
        <w:rPr>
          <w:rFonts w:ascii="Times New Roman" w:hAnsi="Times New Roman"/>
          <w:sz w:val="24"/>
          <w:szCs w:val="24"/>
        </w:rPr>
        <w:t>rGO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composites exhibited an enhanced </w:t>
      </w:r>
      <w:proofErr w:type="spellStart"/>
      <w:r w:rsidRPr="00587E0A">
        <w:rPr>
          <w:rFonts w:ascii="Times New Roman" w:hAnsi="Times New Roman"/>
          <w:sz w:val="24"/>
          <w:szCs w:val="24"/>
        </w:rPr>
        <w:t>photocatalytic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activity compared to bare CTS. The enhanced </w:t>
      </w:r>
      <w:proofErr w:type="spellStart"/>
      <w:r w:rsidRPr="00587E0A">
        <w:rPr>
          <w:rFonts w:ascii="Times New Roman" w:hAnsi="Times New Roman"/>
          <w:sz w:val="24"/>
          <w:szCs w:val="24"/>
        </w:rPr>
        <w:fldChar w:fldCharType="begin"/>
      </w:r>
      <w:r w:rsidRPr="00587E0A">
        <w:rPr>
          <w:rFonts w:ascii="Times New Roman" w:hAnsi="Times New Roman"/>
          <w:sz w:val="24"/>
          <w:szCs w:val="24"/>
        </w:rPr>
        <w:instrText xml:space="preserve"> HYPERLINK "https://www.sciencedirect.com/topics/chemistry/photocatalysis" \o "Learn more about Photocatalysis from ScienceDirect's AI-generated Topic Pages" </w:instrText>
      </w:r>
      <w:r w:rsidRPr="00587E0A">
        <w:rPr>
          <w:rFonts w:ascii="Times New Roman" w:hAnsi="Times New Roman"/>
          <w:sz w:val="24"/>
          <w:szCs w:val="24"/>
        </w:rPr>
        <w:fldChar w:fldCharType="separate"/>
      </w:r>
      <w:r w:rsidRPr="00587E0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photocatalysis</w:t>
      </w:r>
      <w:proofErr w:type="spellEnd"/>
      <w:r w:rsidRPr="00587E0A">
        <w:rPr>
          <w:rFonts w:ascii="Times New Roman" w:hAnsi="Times New Roman"/>
          <w:sz w:val="24"/>
          <w:szCs w:val="24"/>
        </w:rPr>
        <w:fldChar w:fldCharType="end"/>
      </w:r>
      <w:r w:rsidRPr="00587E0A">
        <w:rPr>
          <w:rFonts w:ascii="Times New Roman" w:hAnsi="Times New Roman"/>
          <w:sz w:val="24"/>
          <w:szCs w:val="24"/>
        </w:rPr>
        <w:t xml:space="preserve"> is due to the reduction in the recombination of the generated charge carriers, the increased absorption of light and improved dye absorptive with the incorporation of GO and </w:t>
      </w:r>
      <w:proofErr w:type="spellStart"/>
      <w:r w:rsidRPr="00587E0A">
        <w:rPr>
          <w:rFonts w:ascii="Times New Roman" w:hAnsi="Times New Roman"/>
          <w:sz w:val="24"/>
          <w:szCs w:val="24"/>
        </w:rPr>
        <w:t>rGO</w:t>
      </w:r>
      <w:proofErr w:type="spellEnd"/>
      <w:r w:rsidRPr="00587E0A">
        <w:rPr>
          <w:rFonts w:ascii="Times New Roman" w:hAnsi="Times New Roman"/>
          <w:sz w:val="24"/>
          <w:szCs w:val="24"/>
        </w:rPr>
        <w:t xml:space="preserve"> in CTS. The simple and efficient </w:t>
      </w:r>
      <w:proofErr w:type="spellStart"/>
      <w:r w:rsidRPr="00587E0A">
        <w:rPr>
          <w:rFonts w:ascii="Times New Roman" w:hAnsi="Times New Roman"/>
          <w:sz w:val="24"/>
          <w:szCs w:val="24"/>
        </w:rPr>
        <w:t>mechano</w:t>
      </w:r>
      <w:proofErr w:type="spellEnd"/>
      <w:r w:rsidRPr="00587E0A">
        <w:rPr>
          <w:rFonts w:ascii="Times New Roman" w:hAnsi="Times New Roman"/>
          <w:sz w:val="24"/>
          <w:szCs w:val="24"/>
        </w:rPr>
        <w:t>-chemical strategy (ball milling) for preparation of the catalyst is more applicable to industrial production.</w:t>
      </w:r>
    </w:p>
    <w:sectPr w:rsidR="00C81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9634FC"/>
    <w:rsid w:val="009634FC"/>
    <w:rsid w:val="00C8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3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topics/chemistry/optical-property" TargetMode="External"/><Relationship Id="rId4" Type="http://schemas.openxmlformats.org/officeDocument/2006/relationships/hyperlink" Target="https://www.sciencedirect.com/topics/chemistry/ball-mi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2020-09-26T10:58:00Z</dcterms:created>
  <dcterms:modified xsi:type="dcterms:W3CDTF">2020-09-26T10:59:00Z</dcterms:modified>
</cp:coreProperties>
</file>