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53" w:rsidRPr="00986B53" w:rsidRDefault="00986B53" w:rsidP="00986B53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86B5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86B53" w:rsidRPr="00E1398B" w:rsidRDefault="00986B53" w:rsidP="00986B53">
      <w:pPr>
        <w:spacing w:after="183" w:line="360" w:lineRule="auto"/>
        <w:jc w:val="both"/>
        <w:rPr>
          <w:rFonts w:ascii="Times New Roman" w:eastAsia="Times New Roman" w:hAnsi="Times New Roman"/>
          <w:iCs/>
          <w:color w:val="333333"/>
          <w:sz w:val="24"/>
          <w:szCs w:val="24"/>
        </w:rPr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In recent years, the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wave is widely used for a variety of applications in near-field optics, super-resolution imaging, nanolithography etc due to its shorter effective wavelength and strong field enhancement </w:t>
      </w:r>
      <w:proofErr w:type="gram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effects,</w:t>
      </w:r>
      <w:proofErr w:type="gram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we numerically study the effect of surface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plasmon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interference formed by tightly focused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radially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polarised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Bessel Gaussian beams based on the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vectorial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diffraction theory. 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Radially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polarised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Bessel Gaussian beam is tightly focused onto a silver-glass interface with a high numerical aperture oil immersion objective lens.</w:t>
      </w:r>
    </w:p>
    <w:p w:rsidR="00BB7129" w:rsidRDefault="00986B53" w:rsidP="00986B53">
      <w:pPr>
        <w:spacing w:line="360" w:lineRule="auto"/>
        <w:jc w:val="both"/>
      </w:pPr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ab/>
        <w:t xml:space="preserve">The two- dimensional (2D) intensity distributions at the silver/air interface are numerically studied. The radial component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E</w:t>
      </w:r>
      <w:r w:rsidRPr="00E1398B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>r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and longitudinal component </w:t>
      </w:r>
      <w:proofErr w:type="spell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E</w:t>
      </w:r>
      <w:r w:rsidRPr="00E1398B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>z</w:t>
      </w:r>
      <w:proofErr w:type="spell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after the silver/air interface can be expressed as in the diagram. The transverse profiles of the total intensity distributions from the silver/air are measured to show the non-diffracting nature of the beam for different order. Study shows the results for beam order 1 from 0 to 3. For beam order 0 the system generates focal </w:t>
      </w:r>
      <w:proofErr w:type="gramStart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>spot ,</w:t>
      </w:r>
      <w:proofErr w:type="gramEnd"/>
      <w:r w:rsidRPr="00E1398B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on increasing the beam order the focal spot changes to focal ring.</w:t>
      </w:r>
    </w:p>
    <w:sectPr w:rsidR="00BB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6B53"/>
    <w:rsid w:val="00986B53"/>
    <w:rsid w:val="00B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2020-09-28T06:11:00Z</dcterms:created>
  <dcterms:modified xsi:type="dcterms:W3CDTF">2020-09-28T06:12:00Z</dcterms:modified>
</cp:coreProperties>
</file>