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AE" w:rsidRPr="00AA5BAE" w:rsidRDefault="00AA5BAE" w:rsidP="00AA5BAE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AA5BAE">
        <w:rPr>
          <w:rFonts w:ascii="Times New Roman" w:eastAsia="Times New Roman" w:hAnsi="Times New Roman"/>
          <w:b/>
          <w:sz w:val="32"/>
          <w:szCs w:val="32"/>
        </w:rPr>
        <w:t>ABSTRACT</w:t>
      </w:r>
    </w:p>
    <w:p w:rsidR="00607B77" w:rsidRDefault="00AA5BAE" w:rsidP="00AA5BAE">
      <w:pPr>
        <w:spacing w:line="360" w:lineRule="auto"/>
        <w:jc w:val="both"/>
      </w:pPr>
      <w:r w:rsidRPr="00794F18">
        <w:rPr>
          <w:rFonts w:ascii="Times New Roman" w:eastAsia="Times New Roman" w:hAnsi="Times New Roman"/>
          <w:sz w:val="24"/>
          <w:szCs w:val="24"/>
        </w:rPr>
        <w:t>The intensity distribution in the focal region of a high NA parabolic mirror for the incident azimuthally polarized doughnut Gaussian vortex beam (DGVB) transmitted through a multi belt complex phase filter (MBCF) is studied using vector diffraction theory. By properly designing the phase of the incident beam using MBCF and by tuning the beam parameters of a DGVB, it is possible to switch the focal spot with sub wavelength dimension and long focal depth in to multiple focal spots suitable for particle acceleration, atom optical experiments, and near-field scanning optical microscopy.</w:t>
      </w:r>
    </w:p>
    <w:sectPr w:rsidR="00607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A5BAE"/>
    <w:rsid w:val="00607B77"/>
    <w:rsid w:val="00AA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2020-09-28T11:08:00Z</dcterms:created>
  <dcterms:modified xsi:type="dcterms:W3CDTF">2020-09-28T11:08:00Z</dcterms:modified>
</cp:coreProperties>
</file>