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44C" w:rsidRPr="00E0144C" w:rsidRDefault="00E0144C" w:rsidP="00E0144C">
      <w:pPr>
        <w:jc w:val="center"/>
        <w:rPr>
          <w:rFonts w:ascii="Times New Roman" w:hAnsi="Times New Roman"/>
          <w:b/>
          <w:color w:val="000000"/>
          <w:sz w:val="32"/>
          <w:szCs w:val="32"/>
        </w:rPr>
      </w:pPr>
      <w:r w:rsidRPr="00E0144C">
        <w:rPr>
          <w:rFonts w:ascii="Times New Roman" w:hAnsi="Times New Roman"/>
          <w:b/>
          <w:color w:val="000000"/>
          <w:sz w:val="32"/>
          <w:szCs w:val="32"/>
        </w:rPr>
        <w:t>ABSTRACT</w:t>
      </w:r>
    </w:p>
    <w:p w:rsidR="00B6352B" w:rsidRDefault="00E0144C" w:rsidP="00E0144C">
      <w:pPr>
        <w:spacing w:line="360" w:lineRule="auto"/>
        <w:jc w:val="both"/>
      </w:pPr>
      <w:r w:rsidRPr="00A632A5">
        <w:rPr>
          <w:rFonts w:ascii="Times New Roman" w:hAnsi="Times New Roman"/>
          <w:color w:val="000000"/>
          <w:sz w:val="24"/>
          <w:szCs w:val="24"/>
        </w:rPr>
        <w:t xml:space="preserve">The present study examines the short-run and long-run relationship between the stock markets of BRICS namely Brazil, Russia, India, China and South Africa. The study uses the daily closing price of major stock indices of these countries from 1st January 2000 to 31st December 2017. The research methodology tools include Augmented Dickey- Fuller (ADF) test and Phillips </w:t>
      </w:r>
      <w:proofErr w:type="spellStart"/>
      <w:r w:rsidRPr="00A632A5">
        <w:rPr>
          <w:rFonts w:ascii="Times New Roman" w:hAnsi="Times New Roman"/>
          <w:color w:val="000000"/>
          <w:sz w:val="24"/>
          <w:szCs w:val="24"/>
        </w:rPr>
        <w:t>Perrson</w:t>
      </w:r>
      <w:proofErr w:type="spellEnd"/>
      <w:r w:rsidRPr="00A632A5">
        <w:rPr>
          <w:rFonts w:ascii="Times New Roman" w:hAnsi="Times New Roman"/>
          <w:color w:val="000000"/>
          <w:sz w:val="24"/>
          <w:szCs w:val="24"/>
        </w:rPr>
        <w:t xml:space="preserve"> (PP) test for testing of </w:t>
      </w:r>
      <w:proofErr w:type="spellStart"/>
      <w:r w:rsidRPr="00A632A5">
        <w:rPr>
          <w:rFonts w:ascii="Times New Roman" w:hAnsi="Times New Roman"/>
          <w:color w:val="000000"/>
          <w:sz w:val="24"/>
          <w:szCs w:val="24"/>
        </w:rPr>
        <w:t>stationarity</w:t>
      </w:r>
      <w:proofErr w:type="spellEnd"/>
      <w:r w:rsidRPr="00A632A5">
        <w:rPr>
          <w:rFonts w:ascii="Times New Roman" w:hAnsi="Times New Roman"/>
          <w:color w:val="000000"/>
          <w:sz w:val="24"/>
          <w:szCs w:val="24"/>
        </w:rPr>
        <w:t xml:space="preserve"> and use of VAR (Value at Risk) techniques like Granger Causality test and Johansen and </w:t>
      </w:r>
      <w:proofErr w:type="spellStart"/>
      <w:r w:rsidRPr="00A632A5">
        <w:rPr>
          <w:rFonts w:ascii="Times New Roman" w:hAnsi="Times New Roman"/>
          <w:color w:val="000000"/>
          <w:sz w:val="24"/>
          <w:szCs w:val="24"/>
        </w:rPr>
        <w:t>Juselius</w:t>
      </w:r>
      <w:proofErr w:type="spellEnd"/>
      <w:r w:rsidRPr="00A632A5">
        <w:rPr>
          <w:rFonts w:ascii="Times New Roman" w:hAnsi="Times New Roman"/>
          <w:color w:val="000000"/>
          <w:sz w:val="24"/>
          <w:szCs w:val="24"/>
        </w:rPr>
        <w:t xml:space="preserve"> co-integration test in order to find the integration among the BRICS stock exchanges. The study found evidence for both the short-run and long-run relationship between the BRICS stock exchanges.</w:t>
      </w:r>
    </w:p>
    <w:sectPr w:rsidR="00B635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E0144C"/>
    <w:rsid w:val="00B6352B"/>
    <w:rsid w:val="00E014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2020-09-29T10:49:00Z</dcterms:created>
  <dcterms:modified xsi:type="dcterms:W3CDTF">2020-09-29T10:52:00Z</dcterms:modified>
</cp:coreProperties>
</file>