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DC" w:rsidRPr="00BD15DC" w:rsidRDefault="00BD15DC" w:rsidP="00BD15DC">
      <w:pPr>
        <w:spacing w:line="360" w:lineRule="auto"/>
        <w:jc w:val="center"/>
        <w:rPr>
          <w:rFonts w:ascii="Times New Roman" w:hAnsi="Times New Roman"/>
          <w:b/>
          <w:sz w:val="32"/>
          <w:szCs w:val="28"/>
        </w:rPr>
      </w:pPr>
      <w:r w:rsidRPr="00BD15DC">
        <w:rPr>
          <w:rFonts w:ascii="Times New Roman" w:hAnsi="Times New Roman"/>
          <w:b/>
          <w:sz w:val="32"/>
          <w:szCs w:val="28"/>
        </w:rPr>
        <w:t>ABSTRACT</w:t>
      </w:r>
    </w:p>
    <w:p w:rsidR="00A90E3E" w:rsidRPr="00BD15DC" w:rsidRDefault="00BD15DC" w:rsidP="00BD15DC">
      <w:pPr>
        <w:spacing w:line="360" w:lineRule="auto"/>
        <w:jc w:val="both"/>
        <w:rPr>
          <w:sz w:val="20"/>
        </w:rPr>
      </w:pPr>
      <w:r w:rsidRPr="00BD15DC">
        <w:rPr>
          <w:rFonts w:ascii="Times New Roman" w:hAnsi="Times New Roman"/>
          <w:sz w:val="24"/>
          <w:szCs w:val="28"/>
        </w:rPr>
        <w:t>Layered LiCu</w:t>
      </w:r>
      <w:r w:rsidRPr="00BD15DC">
        <w:rPr>
          <w:rFonts w:ascii="Times New Roman" w:hAnsi="Times New Roman"/>
          <w:sz w:val="24"/>
          <w:szCs w:val="28"/>
          <w:vertAlign w:val="subscript"/>
        </w:rPr>
        <w:t>x</w:t>
      </w:r>
      <w:r w:rsidRPr="00BD15DC">
        <w:rPr>
          <w:rFonts w:ascii="Times New Roman" w:hAnsi="Times New Roman"/>
          <w:sz w:val="24"/>
          <w:szCs w:val="28"/>
        </w:rPr>
        <w:t>Co</w:t>
      </w:r>
      <w:r w:rsidRPr="00BD15DC">
        <w:rPr>
          <w:rFonts w:ascii="Times New Roman" w:hAnsi="Times New Roman"/>
          <w:sz w:val="24"/>
          <w:szCs w:val="28"/>
          <w:vertAlign w:val="subscript"/>
        </w:rPr>
        <w:t>1−x</w:t>
      </w:r>
      <w:r w:rsidRPr="00BD15DC">
        <w:rPr>
          <w:rFonts w:ascii="Times New Roman" w:hAnsi="Times New Roman"/>
          <w:sz w:val="24"/>
          <w:szCs w:val="28"/>
        </w:rPr>
        <w:t>O</w:t>
      </w:r>
      <w:r w:rsidRPr="00BD15DC">
        <w:rPr>
          <w:rFonts w:ascii="Times New Roman" w:hAnsi="Times New Roman"/>
          <w:sz w:val="24"/>
          <w:szCs w:val="28"/>
          <w:vertAlign w:val="subscript"/>
        </w:rPr>
        <w:t>2±δ</w:t>
      </w:r>
      <w:r w:rsidRPr="00BD15DC">
        <w:rPr>
          <w:rFonts w:ascii="Times New Roman" w:hAnsi="Times New Roman"/>
          <w:sz w:val="24"/>
          <w:szCs w:val="28"/>
        </w:rPr>
        <w:t xml:space="preserve"> (0.0 ≤ x ≤ 0.3) has been synthesized using microwave method. This method possesses many advantages such as homogeneity of final product and shorter reaction time compared to other conventional methods. The structure and electrochemical properties of the synthesized materials are characterized through various methods such as XRD, SEM, FTIR, XPS and galvanostatic charge/discharge studies. The XRD patterns of LiCu</w:t>
      </w:r>
      <w:r w:rsidRPr="00BD15DC">
        <w:rPr>
          <w:rFonts w:ascii="Times New Roman" w:hAnsi="Times New Roman"/>
          <w:sz w:val="24"/>
          <w:szCs w:val="28"/>
          <w:vertAlign w:val="subscript"/>
        </w:rPr>
        <w:t>x</w:t>
      </w:r>
      <w:r w:rsidRPr="00BD15DC">
        <w:rPr>
          <w:rFonts w:ascii="Times New Roman" w:hAnsi="Times New Roman"/>
          <w:sz w:val="24"/>
          <w:szCs w:val="28"/>
        </w:rPr>
        <w:t>Co</w:t>
      </w:r>
      <w:r w:rsidRPr="00BD15DC">
        <w:rPr>
          <w:rFonts w:ascii="Times New Roman" w:hAnsi="Times New Roman"/>
          <w:sz w:val="24"/>
          <w:szCs w:val="28"/>
          <w:vertAlign w:val="subscript"/>
        </w:rPr>
        <w:t>1−x</w:t>
      </w:r>
      <w:r w:rsidRPr="00BD15DC">
        <w:rPr>
          <w:rFonts w:ascii="Times New Roman" w:hAnsi="Times New Roman"/>
          <w:sz w:val="24"/>
          <w:szCs w:val="28"/>
        </w:rPr>
        <w:t>O</w:t>
      </w:r>
      <w:r w:rsidRPr="00BD15DC">
        <w:rPr>
          <w:rFonts w:ascii="Times New Roman" w:hAnsi="Times New Roman"/>
          <w:sz w:val="24"/>
          <w:szCs w:val="28"/>
          <w:vertAlign w:val="subscript"/>
        </w:rPr>
        <w:t>2±δ</w:t>
      </w:r>
      <w:r w:rsidRPr="00BD15DC">
        <w:rPr>
          <w:rFonts w:ascii="Times New Roman" w:hAnsi="Times New Roman"/>
          <w:sz w:val="24"/>
          <w:szCs w:val="28"/>
        </w:rPr>
        <w:t xml:space="preserve"> confirm the formation of single-phase layered material. SEM images show that the particles are agglomerated and the average particle size decreases with increasing amount of copper. Electrochemical cycling studies are carried out between 2.7 and 4.6 V using 1 M LiPF</w:t>
      </w:r>
      <w:r w:rsidRPr="00BD15DC">
        <w:rPr>
          <w:rFonts w:ascii="Times New Roman" w:hAnsi="Times New Roman"/>
          <w:sz w:val="24"/>
          <w:szCs w:val="28"/>
          <w:vertAlign w:val="subscript"/>
        </w:rPr>
        <w:t>6</w:t>
      </w:r>
      <w:r w:rsidRPr="00BD15DC">
        <w:rPr>
          <w:rFonts w:ascii="Times New Roman" w:hAnsi="Times New Roman"/>
          <w:sz w:val="24"/>
          <w:szCs w:val="28"/>
        </w:rPr>
        <w:t xml:space="preserve"> in 1:1 EC/DEC as electrolyte. The charge/discharge cycling studies of layered material with LiCu</w:t>
      </w:r>
      <w:r w:rsidRPr="00BD15DC">
        <w:rPr>
          <w:rFonts w:ascii="Times New Roman" w:hAnsi="Times New Roman"/>
          <w:sz w:val="24"/>
          <w:szCs w:val="28"/>
          <w:vertAlign w:val="subscript"/>
        </w:rPr>
        <w:t>0.2</w:t>
      </w:r>
      <w:r w:rsidRPr="00BD15DC">
        <w:rPr>
          <w:rFonts w:ascii="Times New Roman" w:hAnsi="Times New Roman"/>
          <w:sz w:val="24"/>
          <w:szCs w:val="28"/>
        </w:rPr>
        <w:t>Co</w:t>
      </w:r>
      <w:r w:rsidRPr="00BD15DC">
        <w:rPr>
          <w:rFonts w:ascii="Times New Roman" w:hAnsi="Times New Roman"/>
          <w:sz w:val="24"/>
          <w:szCs w:val="28"/>
          <w:vertAlign w:val="subscript"/>
        </w:rPr>
        <w:t>0.8</w:t>
      </w:r>
      <w:r w:rsidRPr="00BD15DC">
        <w:rPr>
          <w:rFonts w:ascii="Times New Roman" w:hAnsi="Times New Roman"/>
          <w:sz w:val="24"/>
          <w:szCs w:val="28"/>
        </w:rPr>
        <w:t>O</w:t>
      </w:r>
      <w:r w:rsidRPr="00BD15DC">
        <w:rPr>
          <w:rFonts w:ascii="Times New Roman" w:hAnsi="Times New Roman"/>
          <w:sz w:val="24"/>
          <w:szCs w:val="28"/>
          <w:vertAlign w:val="subscript"/>
        </w:rPr>
        <w:t>1.9</w:t>
      </w:r>
      <w:r w:rsidRPr="00BD15DC">
        <w:rPr>
          <w:rFonts w:ascii="Times New Roman" w:hAnsi="Times New Roman"/>
          <w:sz w:val="24"/>
          <w:szCs w:val="28"/>
        </w:rPr>
        <w:t xml:space="preserve"> exhibit an average discharge capacity of </w:t>
      </w:r>
      <w:r w:rsidRPr="00BD15DC">
        <w:rPr>
          <w:rFonts w:ascii="Cambria Math" w:hAnsi="Cambria Math" w:cs="Cambria Math"/>
          <w:sz w:val="24"/>
          <w:szCs w:val="28"/>
        </w:rPr>
        <w:t>∼</w:t>
      </w:r>
      <w:r w:rsidRPr="00BD15DC">
        <w:rPr>
          <w:rFonts w:ascii="Times New Roman" w:hAnsi="Times New Roman"/>
          <w:sz w:val="24"/>
          <w:szCs w:val="28"/>
        </w:rPr>
        <w:t>150 mAh g</w:t>
      </w:r>
      <w:r w:rsidRPr="00BD15DC">
        <w:rPr>
          <w:rFonts w:ascii="Times New Roman" w:hAnsi="Times New Roman"/>
          <w:sz w:val="24"/>
          <w:szCs w:val="28"/>
          <w:vertAlign w:val="superscript"/>
        </w:rPr>
        <w:t>−1</w:t>
      </w:r>
      <w:r w:rsidRPr="00BD15DC">
        <w:rPr>
          <w:rFonts w:ascii="Times New Roman" w:hAnsi="Times New Roman"/>
          <w:sz w:val="24"/>
          <w:szCs w:val="28"/>
        </w:rPr>
        <w:t xml:space="preserve"> over the investigated 50 cycles..</w:t>
      </w:r>
    </w:p>
    <w:sectPr w:rsidR="00A90E3E" w:rsidRPr="00BD15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D15DC"/>
    <w:rsid w:val="00A90E3E"/>
    <w:rsid w:val="00BD1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Company>GRG</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2020-09-30T05:12:00Z</dcterms:created>
  <dcterms:modified xsi:type="dcterms:W3CDTF">2020-09-30T05:14:00Z</dcterms:modified>
</cp:coreProperties>
</file>