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C0" w:rsidRPr="00E56BC0" w:rsidRDefault="00E56BC0" w:rsidP="00E56BC0">
      <w:pPr>
        <w:spacing w:line="360" w:lineRule="auto"/>
        <w:jc w:val="center"/>
        <w:rPr>
          <w:rFonts w:ascii="Times New Roman" w:hAnsi="Times New Roman"/>
          <w:b/>
          <w:color w:val="2E2E2E"/>
          <w:sz w:val="32"/>
          <w:szCs w:val="28"/>
        </w:rPr>
      </w:pPr>
      <w:r w:rsidRPr="00E56BC0">
        <w:rPr>
          <w:rFonts w:ascii="Times New Roman" w:hAnsi="Times New Roman"/>
          <w:b/>
          <w:color w:val="2E2E2E"/>
          <w:sz w:val="32"/>
          <w:szCs w:val="28"/>
        </w:rPr>
        <w:t>ABSTRACT</w:t>
      </w:r>
    </w:p>
    <w:p w:rsidR="00000000" w:rsidRPr="00E56BC0" w:rsidRDefault="00E56BC0" w:rsidP="00E56BC0">
      <w:pPr>
        <w:spacing w:line="360" w:lineRule="auto"/>
        <w:jc w:val="both"/>
        <w:rPr>
          <w:sz w:val="20"/>
        </w:rPr>
      </w:pPr>
      <w:r w:rsidRPr="00E56BC0">
        <w:rPr>
          <w:rFonts w:ascii="Times New Roman" w:hAnsi="Times New Roman"/>
          <w:color w:val="2E2E2E"/>
          <w:sz w:val="24"/>
          <w:szCs w:val="28"/>
        </w:rPr>
        <w:t>Li</w:t>
      </w:r>
      <w:r w:rsidRPr="00E56BC0">
        <w:rPr>
          <w:rFonts w:ascii="Times New Roman" w:hAnsi="Times New Roman"/>
          <w:color w:val="2E2E2E"/>
          <w:sz w:val="24"/>
          <w:szCs w:val="28"/>
          <w:vertAlign w:val="subscript"/>
        </w:rPr>
        <w:t>4</w:t>
      </w:r>
      <w:r w:rsidRPr="00E56BC0">
        <w:rPr>
          <w:rFonts w:ascii="Times New Roman" w:hAnsi="Times New Roman"/>
          <w:color w:val="2E2E2E"/>
          <w:sz w:val="24"/>
          <w:szCs w:val="28"/>
        </w:rPr>
        <w:t>Ti</w:t>
      </w:r>
      <w:r w:rsidRPr="00E56BC0">
        <w:rPr>
          <w:rFonts w:ascii="Times New Roman" w:hAnsi="Times New Roman"/>
          <w:color w:val="2E2E2E"/>
          <w:sz w:val="24"/>
          <w:szCs w:val="28"/>
          <w:vertAlign w:val="subscript"/>
        </w:rPr>
        <w:t>5</w:t>
      </w:r>
      <w:r w:rsidRPr="00E56BC0">
        <w:rPr>
          <w:rFonts w:ascii="Times New Roman" w:hAnsi="Times New Roman"/>
          <w:color w:val="2E2E2E"/>
          <w:sz w:val="24"/>
          <w:szCs w:val="28"/>
        </w:rPr>
        <w:t>O</w:t>
      </w:r>
      <w:r w:rsidRPr="00E56BC0">
        <w:rPr>
          <w:rFonts w:ascii="Times New Roman" w:hAnsi="Times New Roman"/>
          <w:color w:val="2E2E2E"/>
          <w:sz w:val="24"/>
          <w:szCs w:val="28"/>
          <w:vertAlign w:val="subscript"/>
        </w:rPr>
        <w:t>12</w:t>
      </w:r>
      <w:r w:rsidRPr="00E56BC0">
        <w:rPr>
          <w:rFonts w:ascii="Times New Roman" w:hAnsi="Times New Roman"/>
          <w:color w:val="2E2E2E"/>
          <w:sz w:val="24"/>
          <w:szCs w:val="28"/>
        </w:rPr>
        <w:t>/Snnano-composites have been prepared as anode material for lithium ion batteries by high-energy mechanical milling method. Structure of the samples has been characterized by X-ray diffraction (XRD), which reveals the formation of phase-pure materials. Scanning electron microscope (SEM) and transmission electron microscope (TEM) suggests that the primary particles are around 100 nm size. The local environment of the metal cations is confirmed by Fourier transform infrared (FT-IR) and the X-ray photoelectron spectroscopy (XPS) confirms that titanium is present in Ti</w:t>
      </w:r>
      <w:r w:rsidRPr="00E56BC0">
        <w:rPr>
          <w:rFonts w:ascii="Times New Roman" w:hAnsi="Times New Roman"/>
          <w:color w:val="2E2E2E"/>
          <w:sz w:val="24"/>
          <w:szCs w:val="28"/>
          <w:vertAlign w:val="superscript"/>
        </w:rPr>
        <w:t>4+</w:t>
      </w:r>
      <w:r w:rsidRPr="00E56BC0">
        <w:rPr>
          <w:rFonts w:ascii="Times New Roman" w:hAnsi="Times New Roman"/>
          <w:color w:val="2E2E2E"/>
          <w:sz w:val="24"/>
          <w:szCs w:val="28"/>
        </w:rPr>
        <w:t> state. The electrochemical properties have been evaluated by galvanostatic charge/discharge studies. Li</w:t>
      </w:r>
      <w:r w:rsidRPr="00E56BC0">
        <w:rPr>
          <w:rFonts w:ascii="Times New Roman" w:hAnsi="Times New Roman"/>
          <w:color w:val="2E2E2E"/>
          <w:sz w:val="24"/>
          <w:szCs w:val="28"/>
          <w:vertAlign w:val="subscript"/>
        </w:rPr>
        <w:t>4</w:t>
      </w:r>
      <w:r w:rsidRPr="00E56BC0">
        <w:rPr>
          <w:rFonts w:ascii="Times New Roman" w:hAnsi="Times New Roman"/>
          <w:color w:val="2E2E2E"/>
          <w:sz w:val="24"/>
          <w:szCs w:val="28"/>
        </w:rPr>
        <w:t>Ti</w:t>
      </w:r>
      <w:r w:rsidRPr="00E56BC0">
        <w:rPr>
          <w:rFonts w:ascii="Times New Roman" w:hAnsi="Times New Roman"/>
          <w:color w:val="2E2E2E"/>
          <w:sz w:val="24"/>
          <w:szCs w:val="28"/>
          <w:vertAlign w:val="subscript"/>
        </w:rPr>
        <w:t>5</w:t>
      </w:r>
      <w:r w:rsidRPr="00E56BC0">
        <w:rPr>
          <w:rFonts w:ascii="Times New Roman" w:hAnsi="Times New Roman"/>
          <w:color w:val="2E2E2E"/>
          <w:sz w:val="24"/>
          <w:szCs w:val="28"/>
        </w:rPr>
        <w:t>O</w:t>
      </w:r>
      <w:r w:rsidRPr="00E56BC0">
        <w:rPr>
          <w:rFonts w:ascii="Times New Roman" w:hAnsi="Times New Roman"/>
          <w:color w:val="2E2E2E"/>
          <w:sz w:val="24"/>
          <w:szCs w:val="28"/>
          <w:vertAlign w:val="subscript"/>
        </w:rPr>
        <w:t>12</w:t>
      </w:r>
      <w:r w:rsidRPr="00E56BC0">
        <w:rPr>
          <w:rFonts w:ascii="Times New Roman" w:hAnsi="Times New Roman"/>
          <w:color w:val="2E2E2E"/>
          <w:sz w:val="24"/>
          <w:szCs w:val="28"/>
        </w:rPr>
        <w:t>/Sn–10% composite delivers stable and enhanced discharge capacity of 200 mAh g</w:t>
      </w:r>
      <w:r w:rsidRPr="00E56BC0">
        <w:rPr>
          <w:rFonts w:ascii="Times New Roman" w:hAnsi="Times New Roman"/>
          <w:color w:val="2E2E2E"/>
          <w:sz w:val="24"/>
          <w:szCs w:val="28"/>
          <w:vertAlign w:val="superscript"/>
        </w:rPr>
        <w:t>−1</w:t>
      </w:r>
      <w:r w:rsidRPr="00E56BC0">
        <w:rPr>
          <w:rFonts w:ascii="Times New Roman" w:hAnsi="Times New Roman"/>
          <w:color w:val="2E2E2E"/>
          <w:sz w:val="24"/>
          <w:szCs w:val="28"/>
        </w:rPr>
        <w:t> indicates that the electrochemical performance of Li</w:t>
      </w:r>
      <w:r w:rsidRPr="00E56BC0">
        <w:rPr>
          <w:rFonts w:ascii="Times New Roman" w:hAnsi="Times New Roman"/>
          <w:color w:val="2E2E2E"/>
          <w:sz w:val="24"/>
          <w:szCs w:val="28"/>
          <w:vertAlign w:val="subscript"/>
        </w:rPr>
        <w:t>4</w:t>
      </w:r>
      <w:r w:rsidRPr="00E56BC0">
        <w:rPr>
          <w:rFonts w:ascii="Times New Roman" w:hAnsi="Times New Roman"/>
          <w:color w:val="2E2E2E"/>
          <w:sz w:val="24"/>
          <w:szCs w:val="28"/>
        </w:rPr>
        <w:t>Ti</w:t>
      </w:r>
      <w:r w:rsidRPr="00E56BC0">
        <w:rPr>
          <w:rFonts w:ascii="Times New Roman" w:hAnsi="Times New Roman"/>
          <w:color w:val="2E2E2E"/>
          <w:sz w:val="24"/>
          <w:szCs w:val="28"/>
          <w:vertAlign w:val="subscript"/>
        </w:rPr>
        <w:t>5</w:t>
      </w:r>
      <w:r w:rsidRPr="00E56BC0">
        <w:rPr>
          <w:rFonts w:ascii="Times New Roman" w:hAnsi="Times New Roman"/>
          <w:color w:val="2E2E2E"/>
          <w:sz w:val="24"/>
          <w:szCs w:val="28"/>
        </w:rPr>
        <w:t>O</w:t>
      </w:r>
      <w:r w:rsidRPr="00E56BC0">
        <w:rPr>
          <w:rFonts w:ascii="Times New Roman" w:hAnsi="Times New Roman"/>
          <w:color w:val="2E2E2E"/>
          <w:sz w:val="24"/>
          <w:szCs w:val="28"/>
          <w:vertAlign w:val="subscript"/>
        </w:rPr>
        <w:t>12</w:t>
      </w:r>
      <w:r w:rsidRPr="00E56BC0">
        <w:rPr>
          <w:rFonts w:ascii="Times New Roman" w:hAnsi="Times New Roman"/>
          <w:color w:val="2E2E2E"/>
          <w:sz w:val="24"/>
          <w:szCs w:val="28"/>
        </w:rPr>
        <w:t>/Snnano-composites is associated with the size and distribution of the Sn particles in the Li</w:t>
      </w:r>
      <w:r w:rsidRPr="00E56BC0">
        <w:rPr>
          <w:rFonts w:ascii="Times New Roman" w:hAnsi="Times New Roman"/>
          <w:color w:val="2E2E2E"/>
          <w:sz w:val="24"/>
          <w:szCs w:val="28"/>
          <w:vertAlign w:val="subscript"/>
        </w:rPr>
        <w:t>4</w:t>
      </w:r>
      <w:r w:rsidRPr="00E56BC0">
        <w:rPr>
          <w:rFonts w:ascii="Times New Roman" w:hAnsi="Times New Roman"/>
          <w:color w:val="2E2E2E"/>
          <w:sz w:val="24"/>
          <w:szCs w:val="28"/>
        </w:rPr>
        <w:t>Ti</w:t>
      </w:r>
      <w:r w:rsidRPr="00E56BC0">
        <w:rPr>
          <w:rFonts w:ascii="Times New Roman" w:hAnsi="Times New Roman"/>
          <w:color w:val="2E2E2E"/>
          <w:sz w:val="24"/>
          <w:szCs w:val="28"/>
          <w:vertAlign w:val="subscript"/>
        </w:rPr>
        <w:t>5</w:t>
      </w:r>
      <w:r w:rsidRPr="00E56BC0">
        <w:rPr>
          <w:rFonts w:ascii="Times New Roman" w:hAnsi="Times New Roman"/>
          <w:color w:val="2E2E2E"/>
          <w:sz w:val="24"/>
          <w:szCs w:val="28"/>
        </w:rPr>
        <w:t>O</w:t>
      </w:r>
      <w:r w:rsidRPr="00E56BC0">
        <w:rPr>
          <w:rFonts w:ascii="Times New Roman" w:hAnsi="Times New Roman"/>
          <w:color w:val="2E2E2E"/>
          <w:sz w:val="24"/>
          <w:szCs w:val="28"/>
          <w:vertAlign w:val="subscript"/>
        </w:rPr>
        <w:t>12</w:t>
      </w:r>
      <w:r w:rsidRPr="00E56BC0">
        <w:rPr>
          <w:rFonts w:ascii="Times New Roman" w:hAnsi="Times New Roman"/>
          <w:color w:val="2E2E2E"/>
          <w:sz w:val="24"/>
          <w:szCs w:val="28"/>
        </w:rPr>
        <w:t> matrix. The smaller the size and more homogeneous dispersion of Sn particles in the Li</w:t>
      </w:r>
      <w:r w:rsidRPr="00E56BC0">
        <w:rPr>
          <w:rFonts w:ascii="Times New Roman" w:hAnsi="Times New Roman"/>
          <w:color w:val="2E2E2E"/>
          <w:sz w:val="24"/>
          <w:szCs w:val="28"/>
          <w:vertAlign w:val="subscript"/>
        </w:rPr>
        <w:t>4</w:t>
      </w:r>
      <w:r w:rsidRPr="00E56BC0">
        <w:rPr>
          <w:rFonts w:ascii="Times New Roman" w:hAnsi="Times New Roman"/>
          <w:color w:val="2E2E2E"/>
          <w:sz w:val="24"/>
          <w:szCs w:val="28"/>
        </w:rPr>
        <w:t>Ti</w:t>
      </w:r>
      <w:r w:rsidRPr="00E56BC0">
        <w:rPr>
          <w:rFonts w:ascii="Times New Roman" w:hAnsi="Times New Roman"/>
          <w:color w:val="2E2E2E"/>
          <w:sz w:val="24"/>
          <w:szCs w:val="28"/>
          <w:vertAlign w:val="subscript"/>
        </w:rPr>
        <w:t>5</w:t>
      </w:r>
      <w:r w:rsidRPr="00E56BC0">
        <w:rPr>
          <w:rFonts w:ascii="Times New Roman" w:hAnsi="Times New Roman"/>
          <w:color w:val="2E2E2E"/>
          <w:sz w:val="24"/>
          <w:szCs w:val="28"/>
        </w:rPr>
        <w:t>O</w:t>
      </w:r>
      <w:r w:rsidRPr="00E56BC0">
        <w:rPr>
          <w:rFonts w:ascii="Times New Roman" w:hAnsi="Times New Roman"/>
          <w:color w:val="2E2E2E"/>
          <w:sz w:val="24"/>
          <w:szCs w:val="28"/>
          <w:vertAlign w:val="subscript"/>
        </w:rPr>
        <w:t>12</w:t>
      </w:r>
      <w:r w:rsidRPr="00E56BC0">
        <w:rPr>
          <w:rFonts w:ascii="Times New Roman" w:hAnsi="Times New Roman"/>
          <w:color w:val="2E2E2E"/>
          <w:sz w:val="24"/>
          <w:szCs w:val="28"/>
        </w:rPr>
        <w:t> matrix exhibits better cycling performance of Li</w:t>
      </w:r>
      <w:r w:rsidRPr="00E56BC0">
        <w:rPr>
          <w:rFonts w:ascii="Times New Roman" w:hAnsi="Times New Roman"/>
          <w:color w:val="2E2E2E"/>
          <w:sz w:val="24"/>
          <w:szCs w:val="28"/>
          <w:vertAlign w:val="subscript"/>
        </w:rPr>
        <w:t>4</w:t>
      </w:r>
      <w:r w:rsidRPr="00E56BC0">
        <w:rPr>
          <w:rFonts w:ascii="Times New Roman" w:hAnsi="Times New Roman"/>
          <w:color w:val="2E2E2E"/>
          <w:sz w:val="24"/>
          <w:szCs w:val="28"/>
        </w:rPr>
        <w:t>Ti</w:t>
      </w:r>
      <w:r w:rsidRPr="00E56BC0">
        <w:rPr>
          <w:rFonts w:ascii="Times New Roman" w:hAnsi="Times New Roman"/>
          <w:color w:val="2E2E2E"/>
          <w:sz w:val="24"/>
          <w:szCs w:val="28"/>
          <w:vertAlign w:val="subscript"/>
        </w:rPr>
        <w:t>5</w:t>
      </w:r>
      <w:r w:rsidRPr="00E56BC0">
        <w:rPr>
          <w:rFonts w:ascii="Times New Roman" w:hAnsi="Times New Roman"/>
          <w:color w:val="2E2E2E"/>
          <w:sz w:val="24"/>
          <w:szCs w:val="28"/>
        </w:rPr>
        <w:t>O</w:t>
      </w:r>
      <w:r w:rsidRPr="00E56BC0">
        <w:rPr>
          <w:rFonts w:ascii="Times New Roman" w:hAnsi="Times New Roman"/>
          <w:color w:val="2E2E2E"/>
          <w:sz w:val="24"/>
          <w:szCs w:val="28"/>
          <w:vertAlign w:val="subscript"/>
        </w:rPr>
        <w:t>12</w:t>
      </w:r>
      <w:r w:rsidRPr="00E56BC0">
        <w:rPr>
          <w:rFonts w:ascii="Times New Roman" w:hAnsi="Times New Roman"/>
          <w:color w:val="2E2E2E"/>
          <w:sz w:val="24"/>
          <w:szCs w:val="28"/>
        </w:rPr>
        <w:t>/Sn composites as compared to bare Li</w:t>
      </w:r>
      <w:r w:rsidRPr="00E56BC0">
        <w:rPr>
          <w:rFonts w:ascii="Times New Roman" w:hAnsi="Times New Roman"/>
          <w:color w:val="2E2E2E"/>
          <w:sz w:val="24"/>
          <w:szCs w:val="28"/>
          <w:vertAlign w:val="subscript"/>
        </w:rPr>
        <w:t>4</w:t>
      </w:r>
      <w:r w:rsidRPr="00E56BC0">
        <w:rPr>
          <w:rFonts w:ascii="Times New Roman" w:hAnsi="Times New Roman"/>
          <w:color w:val="2E2E2E"/>
          <w:sz w:val="24"/>
          <w:szCs w:val="28"/>
        </w:rPr>
        <w:t>Ti</w:t>
      </w:r>
      <w:r w:rsidRPr="00E56BC0">
        <w:rPr>
          <w:rFonts w:ascii="Times New Roman" w:hAnsi="Times New Roman"/>
          <w:color w:val="2E2E2E"/>
          <w:sz w:val="24"/>
          <w:szCs w:val="28"/>
          <w:vertAlign w:val="subscript"/>
        </w:rPr>
        <w:t>5</w:t>
      </w:r>
      <w:r w:rsidRPr="00E56BC0">
        <w:rPr>
          <w:rFonts w:ascii="Times New Roman" w:hAnsi="Times New Roman"/>
          <w:color w:val="2E2E2E"/>
          <w:sz w:val="24"/>
          <w:szCs w:val="28"/>
        </w:rPr>
        <w:t>O</w:t>
      </w:r>
      <w:r w:rsidRPr="00E56BC0">
        <w:rPr>
          <w:rFonts w:ascii="Times New Roman" w:hAnsi="Times New Roman"/>
          <w:color w:val="2E2E2E"/>
          <w:sz w:val="24"/>
          <w:szCs w:val="28"/>
          <w:vertAlign w:val="subscript"/>
        </w:rPr>
        <w:t>12</w:t>
      </w:r>
      <w:r w:rsidRPr="00E56BC0">
        <w:rPr>
          <w:rFonts w:ascii="Times New Roman" w:hAnsi="Times New Roman"/>
          <w:color w:val="2E2E2E"/>
          <w:sz w:val="24"/>
          <w:szCs w:val="28"/>
        </w:rPr>
        <w:t> and Sn particles. Further, Li</w:t>
      </w:r>
      <w:r w:rsidRPr="00E56BC0">
        <w:rPr>
          <w:rFonts w:ascii="Times New Roman" w:hAnsi="Times New Roman"/>
          <w:color w:val="2E2E2E"/>
          <w:sz w:val="24"/>
          <w:szCs w:val="28"/>
          <w:vertAlign w:val="subscript"/>
        </w:rPr>
        <w:t>4</w:t>
      </w:r>
      <w:r w:rsidRPr="00E56BC0">
        <w:rPr>
          <w:rFonts w:ascii="Times New Roman" w:hAnsi="Times New Roman"/>
          <w:color w:val="2E2E2E"/>
          <w:sz w:val="24"/>
          <w:szCs w:val="28"/>
        </w:rPr>
        <w:t>Ti</w:t>
      </w:r>
      <w:r w:rsidRPr="00E56BC0">
        <w:rPr>
          <w:rFonts w:ascii="Times New Roman" w:hAnsi="Times New Roman"/>
          <w:color w:val="2E2E2E"/>
          <w:sz w:val="24"/>
          <w:szCs w:val="28"/>
          <w:vertAlign w:val="subscript"/>
        </w:rPr>
        <w:t>5</w:t>
      </w:r>
      <w:r w:rsidRPr="00E56BC0">
        <w:rPr>
          <w:rFonts w:ascii="Times New Roman" w:hAnsi="Times New Roman"/>
          <w:color w:val="2E2E2E"/>
          <w:sz w:val="24"/>
          <w:szCs w:val="28"/>
        </w:rPr>
        <w:t>O</w:t>
      </w:r>
      <w:r w:rsidRPr="00E56BC0">
        <w:rPr>
          <w:rFonts w:ascii="Times New Roman" w:hAnsi="Times New Roman"/>
          <w:color w:val="2E2E2E"/>
          <w:sz w:val="24"/>
          <w:szCs w:val="28"/>
          <w:vertAlign w:val="subscript"/>
        </w:rPr>
        <w:t>12</w:t>
      </w:r>
      <w:r w:rsidRPr="00E56BC0">
        <w:rPr>
          <w:rFonts w:ascii="Times New Roman" w:hAnsi="Times New Roman"/>
          <w:color w:val="2E2E2E"/>
          <w:sz w:val="24"/>
          <w:szCs w:val="28"/>
        </w:rPr>
        <w:t> provides a facile microstructure to fairly accommodate the volume expansion during the alloying and dealloying of Sn with lithium.</w:t>
      </w:r>
    </w:p>
    <w:p w:rsidR="00E56BC0" w:rsidRPr="00E56BC0" w:rsidRDefault="00E56BC0">
      <w:pPr>
        <w:spacing w:line="360" w:lineRule="auto"/>
        <w:jc w:val="both"/>
        <w:rPr>
          <w:sz w:val="20"/>
        </w:rPr>
      </w:pPr>
    </w:p>
    <w:sectPr w:rsidR="00E56BC0" w:rsidRPr="00E56B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56BC0"/>
    <w:rsid w:val="00E56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Company>GRG</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2020-09-30T05:19:00Z</dcterms:created>
  <dcterms:modified xsi:type="dcterms:W3CDTF">2020-09-30T05:21:00Z</dcterms:modified>
</cp:coreProperties>
</file>