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5C" w:rsidRPr="00780D5C" w:rsidRDefault="00780D5C" w:rsidP="00780D5C">
      <w:pPr>
        <w:spacing w:line="360" w:lineRule="auto"/>
        <w:jc w:val="center"/>
        <w:rPr>
          <w:rFonts w:ascii="Times New Roman" w:hAnsi="Times New Roman"/>
          <w:b/>
          <w:color w:val="2E2E2E"/>
          <w:sz w:val="32"/>
          <w:szCs w:val="28"/>
        </w:rPr>
      </w:pPr>
      <w:r w:rsidRPr="00780D5C">
        <w:rPr>
          <w:rFonts w:ascii="Times New Roman" w:hAnsi="Times New Roman"/>
          <w:b/>
          <w:color w:val="2E2E2E"/>
          <w:sz w:val="32"/>
          <w:szCs w:val="28"/>
        </w:rPr>
        <w:t>ABSTRACT</w:t>
      </w:r>
    </w:p>
    <w:p w:rsidR="009A01B4" w:rsidRPr="00780D5C" w:rsidRDefault="00780D5C" w:rsidP="00780D5C">
      <w:pPr>
        <w:spacing w:line="360" w:lineRule="auto"/>
        <w:jc w:val="both"/>
        <w:rPr>
          <w:sz w:val="20"/>
        </w:rPr>
      </w:pPr>
      <w:r w:rsidRPr="00780D5C">
        <w:rPr>
          <w:rFonts w:ascii="Times New Roman" w:hAnsi="Times New Roman"/>
          <w:color w:val="2E2E2E"/>
          <w:sz w:val="24"/>
          <w:szCs w:val="28"/>
        </w:rPr>
        <w:t>To increase the volumetric discharge capacity of negative electrode for rechargeable lithium batteries, a composite anode Sn</w:t>
      </w:r>
      <w:r w:rsidRPr="00780D5C">
        <w:rPr>
          <w:rFonts w:ascii="Times New Roman" w:hAnsi="Times New Roman"/>
          <w:color w:val="2E2E2E"/>
          <w:sz w:val="24"/>
          <w:szCs w:val="28"/>
          <w:vertAlign w:val="subscript"/>
        </w:rPr>
        <w:t>x</w:t>
      </w:r>
      <w:r w:rsidRPr="00780D5C">
        <w:rPr>
          <w:rFonts w:ascii="Times New Roman" w:hAnsi="Times New Roman"/>
          <w:color w:val="2E2E2E"/>
          <w:sz w:val="24"/>
          <w:szCs w:val="28"/>
        </w:rPr>
        <w:t>Sb</w:t>
      </w:r>
      <w:r w:rsidRPr="00780D5C">
        <w:rPr>
          <w:rFonts w:ascii="Times New Roman" w:hAnsi="Times New Roman"/>
          <w:color w:val="2E2E2E"/>
          <w:sz w:val="24"/>
          <w:szCs w:val="28"/>
          <w:vertAlign w:val="subscript"/>
        </w:rPr>
        <w:t>y</w:t>
      </w:r>
      <w:r w:rsidRPr="00780D5C">
        <w:rPr>
          <w:rFonts w:ascii="Times New Roman" w:hAnsi="Times New Roman"/>
          <w:color w:val="2E2E2E"/>
          <w:sz w:val="24"/>
          <w:szCs w:val="28"/>
        </w:rPr>
        <w:t>Cu</w:t>
      </w:r>
      <w:r w:rsidRPr="00780D5C">
        <w:rPr>
          <w:rFonts w:ascii="Times New Roman" w:hAnsi="Times New Roman"/>
          <w:color w:val="2E2E2E"/>
          <w:sz w:val="24"/>
          <w:szCs w:val="28"/>
          <w:vertAlign w:val="subscript"/>
        </w:rPr>
        <w:t>z</w:t>
      </w:r>
      <w:r w:rsidRPr="00780D5C">
        <w:rPr>
          <w:rFonts w:ascii="Times New Roman" w:hAnsi="Times New Roman"/>
          <w:color w:val="2E2E2E"/>
          <w:sz w:val="24"/>
          <w:szCs w:val="28"/>
        </w:rPr>
        <w:t xml:space="preserve"> has been synthesized by using high energy mechanical ball milling method. The synthesized composite anode materials have been characterized by X-ray diffraction and SEM analysis. The charge/discharge characteristics of the fabricated coin cells have been evaluated galvanostatically in the potential range 0.01–2 V using 1 M LiPF</w:t>
      </w:r>
      <w:r w:rsidRPr="00780D5C">
        <w:rPr>
          <w:rFonts w:ascii="Times New Roman" w:hAnsi="Times New Roman"/>
          <w:color w:val="2E2E2E"/>
          <w:sz w:val="24"/>
          <w:szCs w:val="28"/>
          <w:vertAlign w:val="subscript"/>
        </w:rPr>
        <w:t>6</w:t>
      </w:r>
      <w:r w:rsidRPr="00780D5C">
        <w:rPr>
          <w:rFonts w:ascii="Times New Roman" w:hAnsi="Times New Roman"/>
          <w:color w:val="2E2E2E"/>
          <w:sz w:val="24"/>
          <w:szCs w:val="28"/>
        </w:rPr>
        <w:t xml:space="preserve"> in 1:1 EC/DEC as electrolyte. Results indicate that the composition with 90 wt% Sn, 8 wt% Sb and 2 wt% Cu delivers an average discharge capacity of 740 mAh g−1 over the investigated 50 cycles which is a potential candidate for use as an anode material for lithium rechargeable cells.</w:t>
      </w:r>
    </w:p>
    <w:sectPr w:rsidR="009A01B4" w:rsidRPr="0078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0D5C"/>
    <w:rsid w:val="00780D5C"/>
    <w:rsid w:val="009A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GRG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2020-09-30T05:48:00Z</dcterms:created>
  <dcterms:modified xsi:type="dcterms:W3CDTF">2020-09-30T05:55:00Z</dcterms:modified>
</cp:coreProperties>
</file>