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bottom w:val="nil"/>
          <w:right w:val="nil"/>
        </w:tblBorders>
        <w:tblLook w:val="0000"/>
      </w:tblPr>
      <w:tblGrid>
        <w:gridCol w:w="9576"/>
      </w:tblGrid>
      <w:tr w:rsidR="00B03E45" w:rsidRPr="00267445" w:rsidTr="00437911">
        <w:tblPrEx>
          <w:tblCellMar>
            <w:top w:w="0" w:type="dxa"/>
            <w:bottom w:w="0" w:type="dxa"/>
          </w:tblCellMar>
        </w:tblPrEx>
        <w:trPr>
          <w:trHeight w:val="1332"/>
        </w:trPr>
        <w:tc>
          <w:tcPr>
            <w:tcW w:w="0" w:type="auto"/>
          </w:tcPr>
          <w:p w:rsidR="00B03E45" w:rsidRPr="00B03E45" w:rsidRDefault="00B03E45" w:rsidP="00B03E45">
            <w:pPr>
              <w:autoSpaceDE w:val="0"/>
              <w:autoSpaceDN w:val="0"/>
              <w:adjustRightInd w:val="0"/>
              <w:spacing w:after="0" w:line="240" w:lineRule="auto"/>
              <w:jc w:val="center"/>
              <w:rPr>
                <w:rFonts w:ascii="Times New Roman" w:eastAsia="Times New Roman" w:hAnsi="Times New Roman"/>
                <w:b/>
                <w:color w:val="333333"/>
                <w:sz w:val="32"/>
                <w:szCs w:val="32"/>
              </w:rPr>
            </w:pPr>
            <w:r w:rsidRPr="00B03E45">
              <w:rPr>
                <w:rFonts w:ascii="Times New Roman" w:eastAsia="Times New Roman" w:hAnsi="Times New Roman"/>
                <w:b/>
                <w:color w:val="333333"/>
                <w:sz w:val="32"/>
                <w:szCs w:val="32"/>
              </w:rPr>
              <w:t>Abstract</w:t>
            </w:r>
          </w:p>
          <w:p w:rsidR="00B03E45" w:rsidRDefault="00B03E45" w:rsidP="00437911">
            <w:pPr>
              <w:autoSpaceDE w:val="0"/>
              <w:autoSpaceDN w:val="0"/>
              <w:adjustRightInd w:val="0"/>
              <w:spacing w:after="0" w:line="240" w:lineRule="auto"/>
              <w:jc w:val="both"/>
              <w:rPr>
                <w:rFonts w:ascii="Times New Roman" w:hAnsi="Times New Roman"/>
                <w:color w:val="000000"/>
                <w:sz w:val="24"/>
                <w:szCs w:val="24"/>
                <w:lang w:val="en-IN" w:eastAsia="en-IN"/>
              </w:rPr>
            </w:pPr>
          </w:p>
          <w:p w:rsidR="00B03E45" w:rsidRPr="00B03E45" w:rsidRDefault="00B03E45" w:rsidP="00437911">
            <w:pPr>
              <w:autoSpaceDE w:val="0"/>
              <w:autoSpaceDN w:val="0"/>
              <w:adjustRightInd w:val="0"/>
              <w:spacing w:after="0" w:line="240" w:lineRule="auto"/>
              <w:jc w:val="both"/>
              <w:rPr>
                <w:rFonts w:ascii="Times New Roman" w:hAnsi="Times New Roman"/>
                <w:color w:val="000000"/>
                <w:sz w:val="24"/>
                <w:szCs w:val="24"/>
                <w:lang w:val="en-IN" w:eastAsia="en-IN"/>
              </w:rPr>
            </w:pPr>
            <w:r w:rsidRPr="00B03E45">
              <w:rPr>
                <w:rFonts w:ascii="Times New Roman" w:hAnsi="Times New Roman"/>
                <w:color w:val="000000"/>
                <w:sz w:val="24"/>
                <w:szCs w:val="24"/>
                <w:lang w:val="en-IN" w:eastAsia="en-IN"/>
              </w:rPr>
              <w:t xml:space="preserve">The growth of Indian banking sector is based on several factors, the most important among that is Non-Performing Assets. Recently banking sector has been facing so many issues because of drastic changes in the Non-Performing Assets of the banks. Increase in non-performing assets (NPAs) is directly creating its impact on the financial performance of the banks. The high level of NPAs indicates that defaults in repayment continue to increase in large numbers, and this effects the profitability and net worth of banks. This paper explains the concept of NPAs and review of literature on NPAs, select nationalized banks performance during 2009-2019 and the current status of nationalized banks in terms of profitability. This paper gives an overview on the impact of NPAs on the performance of banks in general and on the performance of select in particular. </w:t>
            </w:r>
          </w:p>
        </w:tc>
      </w:tr>
    </w:tbl>
    <w:p w:rsidR="00C52CB1" w:rsidRDefault="00C52CB1"/>
    <w:sectPr w:rsidR="00C52C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3E45"/>
    <w:rsid w:val="00B03E45"/>
    <w:rsid w:val="00C52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2020-09-30T07:02:00Z</dcterms:created>
  <dcterms:modified xsi:type="dcterms:W3CDTF">2020-09-30T07:05:00Z</dcterms:modified>
</cp:coreProperties>
</file>