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1C" w:rsidRPr="006E371C" w:rsidRDefault="006E371C" w:rsidP="006E371C">
      <w:pPr>
        <w:spacing w:line="360" w:lineRule="auto"/>
        <w:jc w:val="center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6E371C">
        <w:rPr>
          <w:rFonts w:ascii="Times New Roman" w:hAnsi="Times New Roman"/>
          <w:b/>
          <w:sz w:val="24"/>
          <w:szCs w:val="28"/>
          <w:shd w:val="clear" w:color="auto" w:fill="FFFFFF"/>
        </w:rPr>
        <w:t>ABSTRACT</w:t>
      </w:r>
    </w:p>
    <w:p w:rsidR="00A37980" w:rsidRPr="006E371C" w:rsidRDefault="006E371C" w:rsidP="006E371C">
      <w:pPr>
        <w:spacing w:line="360" w:lineRule="auto"/>
        <w:jc w:val="both"/>
        <w:rPr>
          <w:sz w:val="20"/>
        </w:rPr>
      </w:pPr>
      <w:r w:rsidRPr="006E371C">
        <w:rPr>
          <w:rFonts w:ascii="Times New Roman" w:hAnsi="Times New Roman"/>
          <w:sz w:val="24"/>
          <w:szCs w:val="28"/>
          <w:shd w:val="clear" w:color="auto" w:fill="FFFFFF"/>
        </w:rPr>
        <w:t>Sodium cobalt oxide (NCO) has been synthesized by a glycine assisted sol–gel combustion method. XRD studies confirm the P2 phase formation of NCO. Na exists in two different environments in the NCO crystallite structure, which is confirmed by </w:t>
      </w:r>
      <w:r w:rsidRPr="006E371C">
        <w:rPr>
          <w:rFonts w:ascii="Times New Roman" w:hAnsi="Times New Roman"/>
          <w:sz w:val="24"/>
          <w:szCs w:val="28"/>
          <w:shd w:val="clear" w:color="auto" w:fill="FFFFFF"/>
          <w:vertAlign w:val="superscript"/>
        </w:rPr>
        <w:t>23</w:t>
      </w:r>
      <w:r w:rsidRPr="006E371C">
        <w:rPr>
          <w:rFonts w:ascii="Times New Roman" w:hAnsi="Times New Roman"/>
          <w:sz w:val="24"/>
          <w:szCs w:val="28"/>
          <w:shd w:val="clear" w:color="auto" w:fill="FFFFFF"/>
        </w:rPr>
        <w:t>Na Nuclear Magnetic Resonance spectra (NMR). Morphological studies confirm that the particles are unique with a stacked hexagonal shape. Galvanostatic charge/discharge studies performed at different current rates (0.1, 0.2 and 0.5) deliver reversible specific capacities of 126, 108 and 77 mA h g</w:t>
      </w:r>
      <w:r w:rsidRPr="006E371C">
        <w:rPr>
          <w:rFonts w:ascii="Times New Roman" w:hAnsi="Times New Roman"/>
          <w:sz w:val="24"/>
          <w:szCs w:val="28"/>
          <w:shd w:val="clear" w:color="auto" w:fill="FFFFFF"/>
          <w:vertAlign w:val="superscript"/>
        </w:rPr>
        <w:t>−1</w:t>
      </w:r>
      <w:r w:rsidRPr="006E371C">
        <w:rPr>
          <w:rFonts w:ascii="Times New Roman" w:hAnsi="Times New Roman"/>
          <w:sz w:val="24"/>
          <w:szCs w:val="28"/>
          <w:shd w:val="clear" w:color="auto" w:fill="FFFFFF"/>
        </w:rPr>
        <w:t> respectively. Further, cycle life performance of the fabricated cells after 50 cycles at 0.1 C rate exhibits an average discharge capacity of ~121 mA h g</w:t>
      </w:r>
      <w:r w:rsidRPr="006E371C">
        <w:rPr>
          <w:rFonts w:ascii="Times New Roman" w:hAnsi="Times New Roman"/>
          <w:sz w:val="24"/>
          <w:szCs w:val="28"/>
          <w:shd w:val="clear" w:color="auto" w:fill="FFFFFF"/>
          <w:vertAlign w:val="superscript"/>
        </w:rPr>
        <w:t>−1</w:t>
      </w:r>
      <w:r w:rsidRPr="006E371C">
        <w:rPr>
          <w:rFonts w:ascii="Times New Roman" w:hAnsi="Times New Roman"/>
          <w:sz w:val="24"/>
          <w:szCs w:val="28"/>
          <w:shd w:val="clear" w:color="auto" w:fill="FFFFFF"/>
        </w:rPr>
        <w:t> with a capacity retention of ~86% (Coulombic efficiency ~99.9%). The investigated NCO's superior performance suggests its suitability as a cathode material for Na-ion batteries.</w:t>
      </w:r>
    </w:p>
    <w:sectPr w:rsidR="00A37980" w:rsidRPr="006E3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E371C"/>
    <w:rsid w:val="006E371C"/>
    <w:rsid w:val="00A3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GRG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</dc:creator>
  <cp:keywords/>
  <dc:description/>
  <cp:lastModifiedBy>PSGRKC</cp:lastModifiedBy>
  <cp:revision>2</cp:revision>
  <dcterms:created xsi:type="dcterms:W3CDTF">2020-09-30T07:07:00Z</dcterms:created>
  <dcterms:modified xsi:type="dcterms:W3CDTF">2020-09-30T07:07:00Z</dcterms:modified>
</cp:coreProperties>
</file>