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1" w:type="dxa"/>
        <w:shd w:val="clear" w:color="auto" w:fill="FFFFFF"/>
        <w:tblLayout w:type="fixed"/>
        <w:tblCellMar>
          <w:top w:w="15" w:type="dxa"/>
          <w:left w:w="15" w:type="dxa"/>
          <w:bottom w:w="15" w:type="dxa"/>
          <w:right w:w="15" w:type="dxa"/>
        </w:tblCellMar>
        <w:tblLook w:val="04A0"/>
      </w:tblPr>
      <w:tblGrid>
        <w:gridCol w:w="9571"/>
      </w:tblGrid>
      <w:tr w:rsidR="00B46934" w:rsidRPr="00D856FF" w:rsidTr="00B46934">
        <w:tc>
          <w:tcPr>
            <w:tcW w:w="7364" w:type="dxa"/>
            <w:shd w:val="clear" w:color="auto" w:fill="FFFFFF"/>
            <w:tcMar>
              <w:top w:w="73" w:type="dxa"/>
              <w:left w:w="73" w:type="dxa"/>
              <w:bottom w:w="73" w:type="dxa"/>
              <w:right w:w="73" w:type="dxa"/>
            </w:tcMar>
            <w:hideMark/>
          </w:tcPr>
          <w:p w:rsidR="00B46934" w:rsidRDefault="00B46934" w:rsidP="00B46934">
            <w:pPr>
              <w:autoSpaceDE w:val="0"/>
              <w:autoSpaceDN w:val="0"/>
              <w:adjustRightInd w:val="0"/>
              <w:spacing w:after="0" w:line="240" w:lineRule="auto"/>
              <w:jc w:val="center"/>
              <w:rPr>
                <w:rFonts w:ascii="Times New Roman" w:hAnsi="Times New Roman"/>
                <w:b/>
                <w:color w:val="262626"/>
                <w:sz w:val="36"/>
                <w:szCs w:val="36"/>
                <w:lang w:val="en-IN" w:eastAsia="en-IN"/>
              </w:rPr>
            </w:pPr>
            <w:r w:rsidRPr="00B46934">
              <w:rPr>
                <w:rFonts w:ascii="Times New Roman" w:hAnsi="Times New Roman"/>
                <w:b/>
                <w:color w:val="262626"/>
                <w:sz w:val="36"/>
                <w:szCs w:val="36"/>
                <w:lang w:val="en-IN" w:eastAsia="en-IN"/>
              </w:rPr>
              <w:t>Abstract</w:t>
            </w:r>
          </w:p>
          <w:p w:rsidR="00B46934" w:rsidRPr="00B46934" w:rsidRDefault="00B46934" w:rsidP="00B46934">
            <w:pPr>
              <w:autoSpaceDE w:val="0"/>
              <w:autoSpaceDN w:val="0"/>
              <w:adjustRightInd w:val="0"/>
              <w:spacing w:after="0" w:line="240" w:lineRule="auto"/>
              <w:jc w:val="center"/>
              <w:rPr>
                <w:rFonts w:ascii="Times New Roman" w:hAnsi="Times New Roman"/>
                <w:b/>
                <w:color w:val="262626"/>
                <w:sz w:val="36"/>
                <w:szCs w:val="36"/>
                <w:lang w:val="en-IN" w:eastAsia="en-IN"/>
              </w:rPr>
            </w:pPr>
          </w:p>
          <w:p w:rsidR="00B46934" w:rsidRPr="00D856FF" w:rsidRDefault="00B46934" w:rsidP="00B46934">
            <w:pPr>
              <w:autoSpaceDE w:val="0"/>
              <w:autoSpaceDN w:val="0"/>
              <w:adjustRightInd w:val="0"/>
              <w:spacing w:after="0" w:line="360" w:lineRule="auto"/>
              <w:jc w:val="both"/>
              <w:rPr>
                <w:rFonts w:ascii="Times New Roman" w:hAnsi="Times New Roman"/>
                <w:color w:val="000000"/>
                <w:lang w:val="en-IN" w:eastAsia="en-IN"/>
              </w:rPr>
            </w:pPr>
            <w:proofErr w:type="spellStart"/>
            <w:r w:rsidRPr="00D856FF">
              <w:rPr>
                <w:rFonts w:ascii="Times New Roman" w:hAnsi="Times New Roman"/>
                <w:color w:val="262626"/>
                <w:lang w:val="en-IN" w:eastAsia="en-IN"/>
              </w:rPr>
              <w:t>Intrapreneurship</w:t>
            </w:r>
            <w:proofErr w:type="spellEnd"/>
            <w:r w:rsidRPr="00D856FF">
              <w:rPr>
                <w:rFonts w:ascii="Times New Roman" w:hAnsi="Times New Roman"/>
                <w:color w:val="262626"/>
                <w:lang w:val="en-IN" w:eastAsia="en-IN"/>
              </w:rPr>
              <w:t xml:space="preserve"> is acting like an entrepreneur within an established company. It is creating a new business or venture within an organization. </w:t>
            </w:r>
            <w:r w:rsidRPr="00D856FF">
              <w:rPr>
                <w:rFonts w:ascii="Times New Roman" w:hAnsi="Times New Roman"/>
                <w:color w:val="000000"/>
                <w:lang w:val="en-IN" w:eastAsia="en-IN"/>
              </w:rPr>
              <w:t xml:space="preserve">In recent years researchers are focusing on the significance of </w:t>
            </w:r>
            <w:proofErr w:type="spellStart"/>
            <w:r w:rsidRPr="00D856FF">
              <w:rPr>
                <w:rFonts w:ascii="Times New Roman" w:hAnsi="Times New Roman"/>
                <w:color w:val="000000"/>
                <w:lang w:val="en-IN" w:eastAsia="en-IN"/>
              </w:rPr>
              <w:t>Intrapreneurship</w:t>
            </w:r>
            <w:proofErr w:type="spellEnd"/>
            <w:r w:rsidRPr="00D856FF">
              <w:rPr>
                <w:rFonts w:ascii="Times New Roman" w:hAnsi="Times New Roman"/>
                <w:color w:val="000000"/>
                <w:lang w:val="en-IN" w:eastAsia="en-IN"/>
              </w:rPr>
              <w:t xml:space="preserve"> in the success of a company. Researchers also found that emotionally intelligent individuals have better </w:t>
            </w:r>
            <w:proofErr w:type="gramStart"/>
            <w:r w:rsidRPr="00D856FF">
              <w:rPr>
                <w:rFonts w:ascii="Times New Roman" w:hAnsi="Times New Roman"/>
                <w:color w:val="000000"/>
                <w:lang w:val="en-IN" w:eastAsia="en-IN"/>
              </w:rPr>
              <w:t>physical,</w:t>
            </w:r>
            <w:proofErr w:type="gramEnd"/>
            <w:r w:rsidRPr="00D856FF">
              <w:rPr>
                <w:rFonts w:ascii="Times New Roman" w:hAnsi="Times New Roman"/>
                <w:color w:val="000000"/>
                <w:lang w:val="en-IN" w:eastAsia="en-IN"/>
              </w:rPr>
              <w:t xml:space="preserve"> and mental health in performing organizational activities and the employees tend to develop high levels of Perceived Organisational Support (POS) when the organisation cares about their well-being and values their contributions, resulting in high level of accountability and ownership towards</w:t>
            </w:r>
            <w:r>
              <w:rPr>
                <w:rFonts w:ascii="Times New Roman" w:hAnsi="Times New Roman"/>
                <w:color w:val="000000"/>
                <w:lang w:val="en-IN" w:eastAsia="en-IN"/>
              </w:rPr>
              <w:t xml:space="preserve"> </w:t>
            </w:r>
            <w:r w:rsidRPr="00D856FF">
              <w:rPr>
                <w:rFonts w:ascii="Times New Roman" w:hAnsi="Times New Roman"/>
                <w:color w:val="000000"/>
                <w:lang w:val="en-IN" w:eastAsia="en-IN"/>
              </w:rPr>
              <w:t>organizational activities. The present study focuses on the relationship between</w:t>
            </w:r>
            <w:r>
              <w:rPr>
                <w:rFonts w:ascii="Times New Roman" w:hAnsi="Times New Roman"/>
                <w:color w:val="000000"/>
                <w:lang w:val="en-IN" w:eastAsia="en-IN"/>
              </w:rPr>
              <w:t xml:space="preserve"> </w:t>
            </w:r>
            <w:proofErr w:type="spellStart"/>
            <w:r w:rsidRPr="00D856FF">
              <w:rPr>
                <w:rFonts w:ascii="Times New Roman" w:hAnsi="Times New Roman"/>
                <w:color w:val="000000"/>
                <w:lang w:val="en-IN" w:eastAsia="en-IN"/>
              </w:rPr>
              <w:t>Intrapreneurship</w:t>
            </w:r>
            <w:proofErr w:type="spellEnd"/>
            <w:r w:rsidRPr="00D856FF">
              <w:rPr>
                <w:rFonts w:ascii="Times New Roman" w:hAnsi="Times New Roman"/>
                <w:color w:val="000000"/>
                <w:lang w:val="en-IN" w:eastAsia="en-IN"/>
              </w:rPr>
              <w:t xml:space="preserve">, Perceived Organisational Support, and Emotional Intelligence. The respondents were 104 employees working in the service sector. The questionnaire consists of thirty items which represent the theoretical constructs. The study results prove that there is association between all the three study variables and there is a strong association between </w:t>
            </w:r>
            <w:proofErr w:type="spellStart"/>
            <w:r w:rsidRPr="00D856FF">
              <w:rPr>
                <w:rFonts w:ascii="Times New Roman" w:hAnsi="Times New Roman"/>
                <w:color w:val="000000"/>
                <w:lang w:val="en-IN" w:eastAsia="en-IN"/>
              </w:rPr>
              <w:t>Intrapreneurial</w:t>
            </w:r>
            <w:proofErr w:type="spellEnd"/>
            <w:r w:rsidRPr="00D856FF">
              <w:rPr>
                <w:rFonts w:ascii="Times New Roman" w:hAnsi="Times New Roman"/>
                <w:color w:val="000000"/>
                <w:lang w:val="en-IN" w:eastAsia="en-IN"/>
              </w:rPr>
              <w:t xml:space="preserve"> behaviour and perceived organisation support.</w:t>
            </w:r>
          </w:p>
        </w:tc>
      </w:tr>
    </w:tbl>
    <w:p w:rsidR="002F5395" w:rsidRDefault="002F5395"/>
    <w:sectPr w:rsidR="002F53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46934"/>
    <w:rsid w:val="002F5395"/>
    <w:rsid w:val="00B469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2020-09-30T10:35:00Z</dcterms:created>
  <dcterms:modified xsi:type="dcterms:W3CDTF">2020-09-30T10:38:00Z</dcterms:modified>
</cp:coreProperties>
</file>