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0C" w:rsidRPr="004C4A0C" w:rsidRDefault="004C4A0C" w:rsidP="004C4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6"/>
          <w:szCs w:val="36"/>
        </w:rPr>
      </w:pPr>
      <w:r w:rsidRPr="004C4A0C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4C4A0C" w:rsidRDefault="004C4A0C" w:rsidP="004C4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4C4A0C" w:rsidRPr="002804D1" w:rsidRDefault="004C4A0C" w:rsidP="004C4A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Herein, discrete γ</w:t>
      </w:r>
      <w:r w:rsidRPr="002804D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‐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KCoPO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4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>nanocrystals</w:t>
      </w:r>
      <w:proofErr w:type="spellEnd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 were prepared by a facile, green and fast sol‐gel route. The lattice parameters as well as positional and displacement parameters of atoms in the average γ‐KCoPO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4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 structure with a space group of </w:t>
      </w:r>
      <w:r w:rsidRPr="002804D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P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1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Pr="002804D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n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 were calculated using full profile </w:t>
      </w:r>
      <w:proofErr w:type="spellStart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>Rietveld</w:t>
      </w:r>
      <w:proofErr w:type="spellEnd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 refinement. </w:t>
      </w:r>
      <w:proofErr w:type="spellStart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>Monodispersed</w:t>
      </w:r>
      <w:proofErr w:type="spellEnd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 quadrangular γ</w:t>
      </w:r>
      <w:r w:rsidRPr="002804D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‐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KCoPO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4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>nanocrystals</w:t>
      </w:r>
      <w:proofErr w:type="spellEnd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 with improved phase purity and </w:t>
      </w:r>
      <w:proofErr w:type="spellStart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>crystallinity</w:t>
      </w:r>
      <w:proofErr w:type="spellEnd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 were found through XRD patterns and HRTEM images. Subsequently, the prepared γ‐KCoPO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4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>nanocrystals</w:t>
      </w:r>
      <w:proofErr w:type="spellEnd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 were tested as electrode material for </w:t>
      </w:r>
      <w:proofErr w:type="spellStart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>supercapatteries</w:t>
      </w:r>
      <w:proofErr w:type="spellEnd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 in aqueous electrolytes. The γ</w:t>
      </w:r>
      <w:r w:rsidRPr="002804D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‐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KCoPO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4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 electrode shows superior specific charge capacity of 309 C g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−1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 at 1 mV s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−1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 in 1 M KOH, compared to 1 M </w:t>
      </w:r>
      <w:proofErr w:type="spellStart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>NaOH</w:t>
      </w:r>
      <w:proofErr w:type="spellEnd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 (222 C g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−1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) and 1 M </w:t>
      </w:r>
      <w:proofErr w:type="spellStart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>LiOH</w:t>
      </w:r>
      <w:proofErr w:type="spellEnd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 (77 C g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−1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). Further, it exhibits improved electrochemical activity by delivering an impressive specific charge capacity of 100 C g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−1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 at a current of 0.6 </w:t>
      </w:r>
      <w:proofErr w:type="spellStart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>mA</w:t>
      </w:r>
      <w:proofErr w:type="spellEnd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> cm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−2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 in an aqueous electrolyte medium with acceptable capacity retention. A lab‐scale </w:t>
      </w:r>
      <w:proofErr w:type="spellStart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>supercapattery</w:t>
      </w:r>
      <w:proofErr w:type="spellEnd"/>
      <w:r w:rsidRPr="002804D1">
        <w:rPr>
          <w:rFonts w:ascii="Times New Roman" w:hAnsi="Times New Roman"/>
          <w:sz w:val="28"/>
          <w:szCs w:val="28"/>
          <w:shd w:val="clear" w:color="auto" w:fill="FFFFFF"/>
        </w:rPr>
        <w:t xml:space="preserve"> was assembled resembling the commercial device. The fabricated device delivered an enhanced specific energy of 28 W h kg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−1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 and a specific power of 1600 W kg</w:t>
      </w:r>
      <w:r w:rsidRPr="002804D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−1</w:t>
      </w:r>
      <w:r w:rsidRPr="002804D1">
        <w:rPr>
          <w:rFonts w:ascii="Times New Roman" w:hAnsi="Times New Roman"/>
          <w:sz w:val="28"/>
          <w:szCs w:val="28"/>
          <w:shd w:val="clear" w:color="auto" w:fill="FFFFFF"/>
        </w:rPr>
        <w:t> and prolonged cycle life of about 5000 cycles.</w:t>
      </w:r>
    </w:p>
    <w:p w:rsidR="00671B8A" w:rsidRDefault="00671B8A" w:rsidP="004C4A0C">
      <w:pPr>
        <w:spacing w:line="360" w:lineRule="auto"/>
      </w:pPr>
    </w:p>
    <w:sectPr w:rsidR="00671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C4A0C"/>
    <w:rsid w:val="004C4A0C"/>
    <w:rsid w:val="0067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2020-10-03T05:02:00Z</dcterms:created>
  <dcterms:modified xsi:type="dcterms:W3CDTF">2020-10-03T05:02:00Z</dcterms:modified>
</cp:coreProperties>
</file>