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E1" w:rsidRPr="003609E1" w:rsidRDefault="003609E1" w:rsidP="003609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09E1">
        <w:rPr>
          <w:rFonts w:ascii="Times New Roman" w:hAnsi="Times New Roman" w:cs="Times New Roman"/>
          <w:b/>
          <w:sz w:val="32"/>
          <w:szCs w:val="24"/>
        </w:rPr>
        <w:t>ABSTRACT</w:t>
      </w:r>
    </w:p>
    <w:p w:rsidR="00B865FC" w:rsidRDefault="003609E1" w:rsidP="003609E1">
      <w:pPr>
        <w:spacing w:line="360" w:lineRule="auto"/>
        <w:jc w:val="both"/>
      </w:pPr>
      <w:r w:rsidRPr="00B317EC">
        <w:rPr>
          <w:rFonts w:ascii="Times New Roman" w:hAnsi="Times New Roman" w:cs="Times New Roman"/>
          <w:sz w:val="24"/>
          <w:szCs w:val="24"/>
        </w:rPr>
        <w:t xml:space="preserve">2-phenyl-4-chloro-3-formyl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quinoline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 2 was obtained by the reaction of 1 with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POCls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/DMF in CTAB medium. The newly synthesized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aldehyde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 was then converted to acrylic ester 4 via its acid 3 which was then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brominated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 and chlorinated to get the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trihalocompound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 7. The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trihalocompound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 thus obtained was treated with </w:t>
      </w:r>
      <w:proofErr w:type="spellStart"/>
      <w:r w:rsidRPr="00B317EC">
        <w:rPr>
          <w:rFonts w:ascii="Times New Roman" w:hAnsi="Times New Roman" w:cs="Times New Roman"/>
          <w:sz w:val="24"/>
          <w:szCs w:val="24"/>
        </w:rPr>
        <w:t>thiourea</w:t>
      </w:r>
      <w:proofErr w:type="spellEnd"/>
      <w:r w:rsidRPr="00B317EC">
        <w:rPr>
          <w:rFonts w:ascii="Times New Roman" w:hAnsi="Times New Roman" w:cs="Times New Roman"/>
          <w:sz w:val="24"/>
          <w:szCs w:val="24"/>
        </w:rPr>
        <w:t xml:space="preserve"> to get the titled compound 8.</w:t>
      </w:r>
    </w:p>
    <w:sectPr w:rsidR="00B86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609E1"/>
    <w:rsid w:val="003609E1"/>
    <w:rsid w:val="00B8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GRG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2020-10-05T09:30:00Z</dcterms:created>
  <dcterms:modified xsi:type="dcterms:W3CDTF">2020-10-05T09:32:00Z</dcterms:modified>
</cp:coreProperties>
</file>