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E0" w:rsidRPr="00553BE0" w:rsidRDefault="00553BE0" w:rsidP="00553BE0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553BE0">
        <w:rPr>
          <w:rFonts w:ascii="Times New Roman" w:hAnsi="Times New Roman"/>
          <w:b/>
          <w:sz w:val="32"/>
          <w:szCs w:val="24"/>
        </w:rPr>
        <w:t>ABSTRACT</w:t>
      </w:r>
    </w:p>
    <w:p w:rsidR="00961A54" w:rsidRDefault="00553BE0" w:rsidP="00553BE0">
      <w:pPr>
        <w:spacing w:line="360" w:lineRule="auto"/>
        <w:jc w:val="both"/>
      </w:pPr>
      <w:r w:rsidRPr="0093648B">
        <w:rPr>
          <w:rFonts w:ascii="Times New Roman" w:hAnsi="Times New Roman"/>
          <w:sz w:val="24"/>
          <w:szCs w:val="24"/>
        </w:rPr>
        <w:t>A new series of transition metal complexes of Cu(II) and VO(IV) were synthesized from the ligand 2,3-diphenyl quinoxaline. The structural features were arrived from the elemental analysis, magnetic susceptibility, molar conductance, FT- IR, UV-Vis, 1H-NMR and ESR spectral studies. The data show that the Cu (II) and VO(IV) complexes are of ML2 type . The UV-Vis., magnetic susceptibility and ESR spectral data suggests a square planar geometry for Cu (II) complex and a square pyramidal geometry for VO(IV) complex. The antimicrobial screening tests were also recorded and gave good results in the presence of ligand system with the metal.</w:t>
      </w:r>
    </w:p>
    <w:sectPr w:rsidR="0096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3BE0"/>
    <w:rsid w:val="00553BE0"/>
    <w:rsid w:val="0096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GRG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2020-10-05T10:27:00Z</dcterms:created>
  <dcterms:modified xsi:type="dcterms:W3CDTF">2020-10-05T10:30:00Z</dcterms:modified>
</cp:coreProperties>
</file>