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6D" w:rsidRPr="0038436D" w:rsidRDefault="0038436D" w:rsidP="0038436D">
      <w:pPr>
        <w:spacing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38436D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5267CE" w:rsidRPr="0038436D" w:rsidRDefault="0038436D" w:rsidP="0038436D">
      <w:pPr>
        <w:spacing w:line="360" w:lineRule="auto"/>
        <w:jc w:val="both"/>
        <w:rPr>
          <w:sz w:val="20"/>
        </w:rPr>
      </w:pPr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Inhibition of corrosion of mild steel in 1M H</w:t>
      </w:r>
      <w:r w:rsidRPr="0038436D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38436D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 by </w:t>
      </w:r>
      <w:proofErr w:type="spellStart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 was studied using gravimetric, electrochemical techniques and scanning electron microscopy. The addition of all the </w:t>
      </w:r>
      <w:proofErr w:type="spellStart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 to the corrosive medium reduced the corrosion rate. The effect of temperature on the corrosion behavior of mild steel was studied in the temperature range   303K - 333K for 1M H</w:t>
      </w:r>
      <w:r w:rsidRPr="0038436D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38436D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 with optimum concentration of the synthesized </w:t>
      </w:r>
      <w:proofErr w:type="spellStart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. Thermodynamic parameters were also calculated to know the mechanism of corrosion inhibition. Polarization studies showed that all the </w:t>
      </w:r>
      <w:proofErr w:type="spellStart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 function as mixed inhibitors but predominantly act as anodic inhibitors. The percentage of iron in the </w:t>
      </w:r>
      <w:proofErr w:type="spellStart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corrodent</w:t>
      </w:r>
      <w:proofErr w:type="spellEnd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 solution was determined by atomic absorption spectroscopy. The protection of mild steel specimens by </w:t>
      </w:r>
      <w:proofErr w:type="spellStart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38436D">
        <w:rPr>
          <w:rFonts w:ascii="Times New Roman" w:eastAsia="Times New Roman" w:hAnsi="Times New Roman"/>
          <w:color w:val="333333"/>
          <w:sz w:val="24"/>
          <w:szCs w:val="28"/>
        </w:rPr>
        <w:t xml:space="preserve"> was further well supported by scanning electron microscopy and energy dispersive X-ray spectroscopy (SEM-EDX) analysis.</w:t>
      </w:r>
    </w:p>
    <w:sectPr w:rsidR="005267CE" w:rsidRPr="0038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436D"/>
    <w:rsid w:val="0038436D"/>
    <w:rsid w:val="0052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GRG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2020-10-06T06:25:00Z</dcterms:created>
  <dcterms:modified xsi:type="dcterms:W3CDTF">2020-10-06T06:28:00Z</dcterms:modified>
</cp:coreProperties>
</file>