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E57" w:rsidRPr="002D7883" w:rsidRDefault="00A14E57" w:rsidP="00A14E57">
      <w:pPr>
        <w:spacing w:before="255" w:after="0" w:line="240" w:lineRule="auto"/>
        <w:jc w:val="both"/>
        <w:rPr>
          <w:rFonts w:ascii="Times New Roman" w:eastAsia="Arial Unicode MS" w:hAnsi="Times New Roman"/>
        </w:rPr>
      </w:pPr>
      <w:r w:rsidRPr="002D7883">
        <w:rPr>
          <w:rFonts w:ascii="Times New Roman" w:eastAsia="Arial Unicode MS" w:hAnsi="Times New Roman"/>
        </w:rPr>
        <w:t>Modern-day academics focus on emphasizing the uniqueness of students across different situations (Weiner, 1990). Self-efficacy is one of the most important motivating factors which help the students to identify their innate ability. Self-Efficacy helps in identifying the drives or the effort taken by the students in attaining the goal. Understanding the self-efficacy level of students will help the institutions to implement initiatives that can be focused to improvise the students for developing the achievement oriented goal, as this will further drive them to the career choice. The purpose of the study here is to analyze the student's performance of those decisions/events that determines whether or not the individual experiences the effort to improve. This comparative study however implies that the student's need for achievement is almost the same irrespective of the geographical disposition; they only require motivation to succeed. Hence the present generation looks for gearing up their inner drives through proper motivational support. The tools used for comparing the self-efficacy level among the students of Muscat and Coimbatore city are frequencies, standard deviations, simple percentage analysis, Independent sample T-test.</w:t>
      </w:r>
    </w:p>
    <w:p w:rsidR="003E4AD1" w:rsidRDefault="003E4AD1" w:rsidP="00A14E57">
      <w:pPr>
        <w:jc w:val="both"/>
      </w:pPr>
    </w:p>
    <w:sectPr w:rsidR="003E4AD1" w:rsidSect="003E4A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4E57"/>
    <w:rsid w:val="003E4AD1"/>
    <w:rsid w:val="00A14E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E5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1</cp:revision>
  <dcterms:created xsi:type="dcterms:W3CDTF">2020-10-08T07:17:00Z</dcterms:created>
  <dcterms:modified xsi:type="dcterms:W3CDTF">2020-10-08T07:18:00Z</dcterms:modified>
</cp:coreProperties>
</file>