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3A" w:rsidRPr="001C7A3A" w:rsidRDefault="001C7A3A" w:rsidP="001C7A3A">
      <w:pPr>
        <w:jc w:val="center"/>
        <w:rPr>
          <w:rFonts w:ascii="Times New Roman" w:hAnsi="Times New Roman" w:cs="Times New Roman"/>
          <w:b/>
          <w:color w:val="333333"/>
          <w:sz w:val="32"/>
          <w:szCs w:val="32"/>
        </w:rPr>
      </w:pPr>
      <w:r w:rsidRPr="001C7A3A">
        <w:rPr>
          <w:rFonts w:ascii="Times New Roman" w:hAnsi="Times New Roman" w:cs="Times New Roman"/>
          <w:b/>
          <w:color w:val="333333"/>
          <w:sz w:val="32"/>
          <w:szCs w:val="32"/>
        </w:rPr>
        <w:t>Abstract</w:t>
      </w:r>
    </w:p>
    <w:p w:rsidR="004808D0" w:rsidRDefault="001C7A3A" w:rsidP="001C7A3A">
      <w:pPr>
        <w:spacing w:line="360" w:lineRule="auto"/>
        <w:jc w:val="both"/>
      </w:pPr>
      <w:r w:rsidRPr="001C7A3A">
        <w:rPr>
          <w:rFonts w:ascii="Times New Roman" w:hAnsi="Times New Roman" w:cs="Times New Roman"/>
          <w:b/>
          <w:color w:val="333333"/>
          <w:sz w:val="24"/>
          <w:szCs w:val="24"/>
        </w:rPr>
        <w:t> </w:t>
      </w:r>
      <w:r w:rsidRPr="001C7A3A">
        <w:rPr>
          <w:rStyle w:val="Strong"/>
          <w:rFonts w:ascii="Times New Roman" w:hAnsi="Times New Roman" w:cs="Times New Roman"/>
          <w:b w:val="0"/>
          <w:sz w:val="24"/>
          <w:szCs w:val="24"/>
        </w:rPr>
        <w:t>Wheat is one of the most important cereal crops for food security and rust diseases continually pose a threat to wheat production at national and international level. Resistant cultivars are the economical, most reliable, environmentally safest and sustainable way to manage the rust diseases. Most of the rust resistance genes are all stage resistance (ASR) and therefore succumb to new variants of the respective pathogen soon after their deployment. Deployment of ASR genes does not often provide durable resistance, whereas adult plant resistance (APR) genes have small to intermediate effects when present alone. Same time, high and durable rust resistance could be achieved by combining the APR and ASR genes together. Selection of two or more genes in a single genotype can be difficult using conventional selection system. In such a scenario, phenotype neutral selection based on marker-trait association becomes inevitable. Stem rust has been a major threat to wheat production in the recent days. </w:t>
      </w:r>
      <w:r w:rsidRPr="001C7A3A">
        <w:rPr>
          <w:rStyle w:val="Emphasis"/>
          <w:rFonts w:ascii="Times New Roman" w:hAnsi="Times New Roman" w:cs="Times New Roman"/>
          <w:b/>
          <w:bCs/>
          <w:sz w:val="24"/>
          <w:szCs w:val="24"/>
        </w:rPr>
        <w:t>Sr2</w:t>
      </w:r>
      <w:r w:rsidRPr="001C7A3A">
        <w:rPr>
          <w:rStyle w:val="Strong"/>
          <w:rFonts w:ascii="Times New Roman" w:hAnsi="Times New Roman" w:cs="Times New Roman"/>
          <w:b w:val="0"/>
          <w:sz w:val="24"/>
          <w:szCs w:val="24"/>
        </w:rPr>
        <w:t xml:space="preserve">, a minor stem rust resistance gene was </w:t>
      </w:r>
      <w:proofErr w:type="spellStart"/>
      <w:r w:rsidRPr="001C7A3A">
        <w:rPr>
          <w:rStyle w:val="Strong"/>
          <w:rFonts w:ascii="Times New Roman" w:hAnsi="Times New Roman" w:cs="Times New Roman"/>
          <w:b w:val="0"/>
          <w:sz w:val="24"/>
          <w:szCs w:val="24"/>
        </w:rPr>
        <w:t>introgressed</w:t>
      </w:r>
      <w:proofErr w:type="spellEnd"/>
      <w:r w:rsidRPr="001C7A3A">
        <w:rPr>
          <w:rStyle w:val="Strong"/>
          <w:rFonts w:ascii="Times New Roman" w:hAnsi="Times New Roman" w:cs="Times New Roman"/>
          <w:b w:val="0"/>
          <w:sz w:val="24"/>
          <w:szCs w:val="24"/>
        </w:rPr>
        <w:t xml:space="preserve"> together with a major stem rust resistance gene </w:t>
      </w:r>
      <w:r w:rsidRPr="001C7A3A">
        <w:rPr>
          <w:rStyle w:val="Emphasis"/>
          <w:rFonts w:ascii="Times New Roman" w:hAnsi="Times New Roman" w:cs="Times New Roman"/>
          <w:b/>
          <w:bCs/>
          <w:sz w:val="24"/>
          <w:szCs w:val="24"/>
        </w:rPr>
        <w:t>Sr36</w:t>
      </w:r>
      <w:r w:rsidRPr="001C7A3A">
        <w:rPr>
          <w:rStyle w:val="Strong"/>
          <w:rFonts w:ascii="Times New Roman" w:hAnsi="Times New Roman" w:cs="Times New Roman"/>
          <w:b w:val="0"/>
          <w:sz w:val="24"/>
          <w:szCs w:val="24"/>
        </w:rPr>
        <w:t> in the background of two popular wheat varieties, ‘Lok-1’ and ‘Raj 4083’. As the minor gene </w:t>
      </w:r>
      <w:r w:rsidRPr="001C7A3A">
        <w:rPr>
          <w:rStyle w:val="Emphasis"/>
          <w:rFonts w:ascii="Times New Roman" w:hAnsi="Times New Roman" w:cs="Times New Roman"/>
          <w:b/>
          <w:bCs/>
          <w:sz w:val="24"/>
          <w:szCs w:val="24"/>
        </w:rPr>
        <w:t>Sr2 </w:t>
      </w:r>
      <w:r w:rsidRPr="001C7A3A">
        <w:rPr>
          <w:rStyle w:val="Strong"/>
          <w:rFonts w:ascii="Times New Roman" w:hAnsi="Times New Roman" w:cs="Times New Roman"/>
          <w:b w:val="0"/>
          <w:sz w:val="24"/>
          <w:szCs w:val="24"/>
        </w:rPr>
        <w:t>alone cannot provide adequate resistance to stem rusts, major gene </w:t>
      </w:r>
      <w:r w:rsidRPr="001C7A3A">
        <w:rPr>
          <w:rStyle w:val="Emphasis"/>
          <w:rFonts w:ascii="Times New Roman" w:hAnsi="Times New Roman" w:cs="Times New Roman"/>
          <w:b/>
          <w:bCs/>
          <w:sz w:val="24"/>
          <w:szCs w:val="24"/>
        </w:rPr>
        <w:t>Sr36</w:t>
      </w:r>
      <w:r w:rsidRPr="001C7A3A">
        <w:rPr>
          <w:rStyle w:val="Strong"/>
          <w:rFonts w:ascii="Times New Roman" w:hAnsi="Times New Roman" w:cs="Times New Roman"/>
          <w:b w:val="0"/>
          <w:sz w:val="24"/>
          <w:szCs w:val="24"/>
        </w:rPr>
        <w:t> was pyramided along with it. Marker assisted selection using microsatellite markers </w:t>
      </w:r>
      <w:r w:rsidRPr="001C7A3A">
        <w:rPr>
          <w:rStyle w:val="Emphasis"/>
          <w:rFonts w:ascii="Times New Roman" w:hAnsi="Times New Roman" w:cs="Times New Roman"/>
          <w:b/>
          <w:bCs/>
          <w:sz w:val="24"/>
          <w:szCs w:val="24"/>
        </w:rPr>
        <w:t>gwm533 </w:t>
      </w:r>
      <w:r w:rsidRPr="001C7A3A">
        <w:rPr>
          <w:rStyle w:val="Strong"/>
          <w:rFonts w:ascii="Times New Roman" w:hAnsi="Times New Roman" w:cs="Times New Roman"/>
          <w:b w:val="0"/>
          <w:sz w:val="24"/>
          <w:szCs w:val="24"/>
        </w:rPr>
        <w:t>and </w:t>
      </w:r>
      <w:r w:rsidRPr="001C7A3A">
        <w:rPr>
          <w:rStyle w:val="Emphasis"/>
          <w:rFonts w:ascii="Times New Roman" w:hAnsi="Times New Roman" w:cs="Times New Roman"/>
          <w:b/>
          <w:bCs/>
          <w:sz w:val="24"/>
          <w:szCs w:val="24"/>
        </w:rPr>
        <w:t>stm773-2</w:t>
      </w:r>
      <w:r w:rsidRPr="001C7A3A">
        <w:rPr>
          <w:rStyle w:val="Strong"/>
          <w:rFonts w:ascii="Times New Roman" w:hAnsi="Times New Roman" w:cs="Times New Roman"/>
          <w:b w:val="0"/>
          <w:sz w:val="24"/>
          <w:szCs w:val="24"/>
        </w:rPr>
        <w:t> linked to </w:t>
      </w:r>
      <w:r w:rsidRPr="001C7A3A">
        <w:rPr>
          <w:rStyle w:val="Emphasis"/>
          <w:rFonts w:ascii="Times New Roman" w:hAnsi="Times New Roman" w:cs="Times New Roman"/>
          <w:b/>
          <w:bCs/>
          <w:sz w:val="24"/>
          <w:szCs w:val="24"/>
        </w:rPr>
        <w:t>Sr2</w:t>
      </w:r>
      <w:r w:rsidRPr="001C7A3A">
        <w:rPr>
          <w:rStyle w:val="Strong"/>
          <w:rFonts w:ascii="Times New Roman" w:hAnsi="Times New Roman" w:cs="Times New Roman"/>
          <w:b w:val="0"/>
          <w:sz w:val="24"/>
          <w:szCs w:val="24"/>
        </w:rPr>
        <w:t> and </w:t>
      </w:r>
      <w:r w:rsidRPr="001C7A3A">
        <w:rPr>
          <w:rStyle w:val="Emphasis"/>
          <w:rFonts w:ascii="Times New Roman" w:hAnsi="Times New Roman" w:cs="Times New Roman"/>
          <w:b/>
          <w:bCs/>
          <w:sz w:val="24"/>
          <w:szCs w:val="24"/>
        </w:rPr>
        <w:t>Sr36 </w:t>
      </w:r>
      <w:r w:rsidRPr="001C7A3A">
        <w:rPr>
          <w:rStyle w:val="Strong"/>
          <w:rFonts w:ascii="Times New Roman" w:hAnsi="Times New Roman" w:cs="Times New Roman"/>
          <w:b w:val="0"/>
          <w:sz w:val="24"/>
          <w:szCs w:val="24"/>
        </w:rPr>
        <w:t>were performed in the BC</w:t>
      </w:r>
      <w:r w:rsidRPr="001C7A3A">
        <w:rPr>
          <w:rStyle w:val="Strong"/>
          <w:rFonts w:ascii="Times New Roman" w:hAnsi="Times New Roman" w:cs="Times New Roman"/>
          <w:b w:val="0"/>
          <w:sz w:val="24"/>
          <w:szCs w:val="24"/>
          <w:vertAlign w:val="subscript"/>
        </w:rPr>
        <w:t>1</w:t>
      </w:r>
      <w:r w:rsidRPr="001C7A3A">
        <w:rPr>
          <w:rStyle w:val="Strong"/>
          <w:rFonts w:ascii="Times New Roman" w:hAnsi="Times New Roman" w:cs="Times New Roman"/>
          <w:b w:val="0"/>
          <w:sz w:val="24"/>
          <w:szCs w:val="24"/>
        </w:rPr>
        <w:t>F</w:t>
      </w:r>
      <w:r w:rsidRPr="001C7A3A">
        <w:rPr>
          <w:rStyle w:val="Strong"/>
          <w:rFonts w:ascii="Times New Roman" w:hAnsi="Times New Roman" w:cs="Times New Roman"/>
          <w:b w:val="0"/>
          <w:sz w:val="24"/>
          <w:szCs w:val="24"/>
          <w:vertAlign w:val="subscript"/>
        </w:rPr>
        <w:t>1</w:t>
      </w:r>
      <w:r w:rsidRPr="001C7A3A">
        <w:rPr>
          <w:rStyle w:val="Strong"/>
          <w:rFonts w:ascii="Times New Roman" w:hAnsi="Times New Roman" w:cs="Times New Roman"/>
          <w:b w:val="0"/>
          <w:sz w:val="24"/>
          <w:szCs w:val="24"/>
        </w:rPr>
        <w:t>, BC</w:t>
      </w:r>
      <w:r w:rsidRPr="001C7A3A">
        <w:rPr>
          <w:rStyle w:val="Strong"/>
          <w:rFonts w:ascii="Times New Roman" w:hAnsi="Times New Roman" w:cs="Times New Roman"/>
          <w:b w:val="0"/>
          <w:sz w:val="24"/>
          <w:szCs w:val="24"/>
          <w:vertAlign w:val="subscript"/>
        </w:rPr>
        <w:t>1</w:t>
      </w:r>
      <w:r w:rsidRPr="001C7A3A">
        <w:rPr>
          <w:rStyle w:val="Strong"/>
          <w:rFonts w:ascii="Times New Roman" w:hAnsi="Times New Roman" w:cs="Times New Roman"/>
          <w:b w:val="0"/>
          <w:sz w:val="24"/>
          <w:szCs w:val="24"/>
        </w:rPr>
        <w:t>F</w:t>
      </w:r>
      <w:r w:rsidRPr="001C7A3A">
        <w:rPr>
          <w:rStyle w:val="Strong"/>
          <w:rFonts w:ascii="Times New Roman" w:hAnsi="Times New Roman" w:cs="Times New Roman"/>
          <w:b w:val="0"/>
          <w:sz w:val="24"/>
          <w:szCs w:val="24"/>
          <w:vertAlign w:val="subscript"/>
        </w:rPr>
        <w:t>2</w:t>
      </w:r>
      <w:r w:rsidRPr="001C7A3A">
        <w:rPr>
          <w:rStyle w:val="Strong"/>
          <w:rFonts w:ascii="Times New Roman" w:hAnsi="Times New Roman" w:cs="Times New Roman"/>
          <w:b w:val="0"/>
          <w:sz w:val="24"/>
          <w:szCs w:val="24"/>
        </w:rPr>
        <w:t> and BC</w:t>
      </w:r>
      <w:r w:rsidRPr="001C7A3A">
        <w:rPr>
          <w:rStyle w:val="Strong"/>
          <w:rFonts w:ascii="Times New Roman" w:hAnsi="Times New Roman" w:cs="Times New Roman"/>
          <w:b w:val="0"/>
          <w:sz w:val="24"/>
          <w:szCs w:val="24"/>
          <w:vertAlign w:val="subscript"/>
        </w:rPr>
        <w:t>1</w:t>
      </w:r>
      <w:r w:rsidRPr="001C7A3A">
        <w:rPr>
          <w:rStyle w:val="Strong"/>
          <w:rFonts w:ascii="Times New Roman" w:hAnsi="Times New Roman" w:cs="Times New Roman"/>
          <w:b w:val="0"/>
          <w:sz w:val="24"/>
          <w:szCs w:val="24"/>
        </w:rPr>
        <w:t>F</w:t>
      </w:r>
      <w:r w:rsidRPr="001C7A3A">
        <w:rPr>
          <w:rStyle w:val="Strong"/>
          <w:rFonts w:ascii="Times New Roman" w:hAnsi="Times New Roman" w:cs="Times New Roman"/>
          <w:b w:val="0"/>
          <w:sz w:val="24"/>
          <w:szCs w:val="24"/>
          <w:vertAlign w:val="subscript"/>
        </w:rPr>
        <w:t>3</w:t>
      </w:r>
      <w:r w:rsidRPr="001C7A3A">
        <w:rPr>
          <w:rStyle w:val="Strong"/>
          <w:rFonts w:ascii="Times New Roman" w:hAnsi="Times New Roman" w:cs="Times New Roman"/>
          <w:b w:val="0"/>
          <w:sz w:val="24"/>
          <w:szCs w:val="24"/>
        </w:rPr>
        <w:t xml:space="preserve"> generations for the successful pyramiding of these genes. The microsatellite markers eased the process of identification of lines carrying the </w:t>
      </w:r>
      <w:proofErr w:type="spellStart"/>
      <w:r w:rsidRPr="001C7A3A">
        <w:rPr>
          <w:rStyle w:val="Strong"/>
          <w:rFonts w:ascii="Times New Roman" w:hAnsi="Times New Roman" w:cs="Times New Roman"/>
          <w:b w:val="0"/>
          <w:sz w:val="24"/>
          <w:szCs w:val="24"/>
        </w:rPr>
        <w:t>introgressed</w:t>
      </w:r>
      <w:proofErr w:type="spellEnd"/>
      <w:r w:rsidRPr="001C7A3A">
        <w:rPr>
          <w:rStyle w:val="Strong"/>
          <w:rFonts w:ascii="Times New Roman" w:hAnsi="Times New Roman" w:cs="Times New Roman"/>
          <w:b w:val="0"/>
          <w:sz w:val="24"/>
          <w:szCs w:val="24"/>
        </w:rPr>
        <w:t xml:space="preserve"> genes. Both phenotype and genotype data confirmed the co-presence of </w:t>
      </w:r>
      <w:r w:rsidRPr="001C7A3A">
        <w:rPr>
          <w:rStyle w:val="Emphasis"/>
          <w:rFonts w:ascii="Times New Roman" w:hAnsi="Times New Roman" w:cs="Times New Roman"/>
          <w:b/>
          <w:bCs/>
          <w:sz w:val="24"/>
          <w:szCs w:val="24"/>
        </w:rPr>
        <w:t>Sr2</w:t>
      </w:r>
      <w:r w:rsidRPr="001C7A3A">
        <w:rPr>
          <w:rStyle w:val="Strong"/>
          <w:rFonts w:ascii="Times New Roman" w:hAnsi="Times New Roman" w:cs="Times New Roman"/>
          <w:b w:val="0"/>
          <w:sz w:val="24"/>
          <w:szCs w:val="24"/>
        </w:rPr>
        <w:t> and </w:t>
      </w:r>
      <w:r w:rsidRPr="001C7A3A">
        <w:rPr>
          <w:rStyle w:val="Emphasis"/>
          <w:rFonts w:ascii="Times New Roman" w:hAnsi="Times New Roman" w:cs="Times New Roman"/>
          <w:b/>
          <w:bCs/>
          <w:sz w:val="24"/>
          <w:szCs w:val="24"/>
        </w:rPr>
        <w:t>Sr36</w:t>
      </w:r>
      <w:r w:rsidRPr="001C7A3A">
        <w:rPr>
          <w:rStyle w:val="Strong"/>
          <w:rFonts w:ascii="Times New Roman" w:hAnsi="Times New Roman" w:cs="Times New Roman"/>
          <w:b w:val="0"/>
          <w:sz w:val="24"/>
          <w:szCs w:val="24"/>
        </w:rPr>
        <w:t> genes. These lines with the two highly effective genes should be more useful for developing durable stem rust resistant wheat cultivars</w:t>
      </w:r>
      <w:r w:rsidRPr="00A17EB8">
        <w:rPr>
          <w:rStyle w:val="Strong"/>
        </w:rPr>
        <w:t>.</w:t>
      </w:r>
    </w:p>
    <w:sectPr w:rsidR="00480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7A3A"/>
    <w:rsid w:val="001C7A3A"/>
    <w:rsid w:val="0048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7A3A"/>
    <w:rPr>
      <w:i/>
      <w:iCs/>
    </w:rPr>
  </w:style>
  <w:style w:type="character" w:styleId="Strong">
    <w:name w:val="Strong"/>
    <w:basedOn w:val="DefaultParagraphFont"/>
    <w:uiPriority w:val="22"/>
    <w:qFormat/>
    <w:rsid w:val="001C7A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2020-10-08T08:12:00Z</dcterms:created>
  <dcterms:modified xsi:type="dcterms:W3CDTF">2020-10-08T08:13:00Z</dcterms:modified>
</cp:coreProperties>
</file>