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027" w:rsidRPr="006D6027" w:rsidRDefault="006D6027" w:rsidP="006D6027">
      <w:pPr>
        <w:jc w:val="center"/>
        <w:rPr>
          <w:rFonts w:ascii="Times New Roman" w:eastAsia="Times New Roman" w:hAnsi="Times New Roman"/>
          <w:b/>
          <w:color w:val="333333"/>
          <w:sz w:val="32"/>
          <w:szCs w:val="32"/>
        </w:rPr>
      </w:pPr>
      <w:r w:rsidRPr="006D6027">
        <w:rPr>
          <w:rFonts w:ascii="Times New Roman" w:eastAsia="Times New Roman" w:hAnsi="Times New Roman"/>
          <w:b/>
          <w:color w:val="333333"/>
          <w:sz w:val="32"/>
          <w:szCs w:val="32"/>
        </w:rPr>
        <w:t>Abstract</w:t>
      </w:r>
    </w:p>
    <w:p w:rsidR="003F2B98" w:rsidRDefault="006D6027" w:rsidP="006D6027">
      <w:pPr>
        <w:spacing w:line="360" w:lineRule="auto"/>
        <w:jc w:val="both"/>
      </w:pPr>
      <w:r w:rsidRPr="0060442A">
        <w:rPr>
          <w:rFonts w:ascii="Times New Roman" w:hAnsi="Times New Roman"/>
          <w:sz w:val="24"/>
          <w:szCs w:val="24"/>
        </w:rPr>
        <w:t xml:space="preserve">Indian English Literature is remarkable in the contributions made by its women writers. </w:t>
      </w:r>
      <w:proofErr w:type="spellStart"/>
      <w:r w:rsidRPr="0060442A">
        <w:rPr>
          <w:rFonts w:ascii="Times New Roman" w:hAnsi="Times New Roman"/>
          <w:sz w:val="24"/>
          <w:szCs w:val="24"/>
        </w:rPr>
        <w:t>Shobha</w:t>
      </w:r>
      <w:proofErr w:type="spellEnd"/>
      <w:r w:rsidRPr="0060442A">
        <w:rPr>
          <w:rFonts w:ascii="Times New Roman" w:hAnsi="Times New Roman"/>
          <w:sz w:val="24"/>
          <w:szCs w:val="24"/>
        </w:rPr>
        <w:t xml:space="preserve"> De and </w:t>
      </w:r>
      <w:proofErr w:type="spellStart"/>
      <w:r w:rsidRPr="0060442A">
        <w:rPr>
          <w:rFonts w:ascii="Times New Roman" w:hAnsi="Times New Roman"/>
          <w:sz w:val="24"/>
          <w:szCs w:val="24"/>
        </w:rPr>
        <w:t>Manju</w:t>
      </w:r>
      <w:proofErr w:type="spellEnd"/>
      <w:r w:rsidRPr="0060442A">
        <w:rPr>
          <w:rFonts w:ascii="Times New Roman" w:hAnsi="Times New Roman"/>
          <w:sz w:val="24"/>
          <w:szCs w:val="24"/>
        </w:rPr>
        <w:t xml:space="preserve"> </w:t>
      </w:r>
      <w:proofErr w:type="spellStart"/>
      <w:r w:rsidRPr="0060442A">
        <w:rPr>
          <w:rFonts w:ascii="Times New Roman" w:hAnsi="Times New Roman"/>
          <w:sz w:val="24"/>
          <w:szCs w:val="24"/>
        </w:rPr>
        <w:t>Kapur</w:t>
      </w:r>
      <w:proofErr w:type="spellEnd"/>
      <w:r w:rsidRPr="0060442A">
        <w:rPr>
          <w:rFonts w:ascii="Times New Roman" w:hAnsi="Times New Roman"/>
          <w:sz w:val="24"/>
          <w:szCs w:val="24"/>
        </w:rPr>
        <w:t xml:space="preserve"> are among them who attempt to portray the conditions of the Indian women who encounter various trials and tribulations due to the conflicting influence of tradition and modernity. They present the tormented consciousness of the urban middle- class women who in search of their own identity changes from a silent sufferer to a complete rebel moving against the age- old traditions, ethics and restrictions of the male dominated society. This sort of self-assertion is reflected in </w:t>
      </w:r>
      <w:proofErr w:type="spellStart"/>
      <w:r w:rsidRPr="0060442A">
        <w:rPr>
          <w:rFonts w:ascii="Times New Roman" w:hAnsi="Times New Roman"/>
          <w:sz w:val="24"/>
          <w:szCs w:val="24"/>
        </w:rPr>
        <w:t>Manju</w:t>
      </w:r>
      <w:proofErr w:type="spellEnd"/>
      <w:r w:rsidRPr="0060442A">
        <w:rPr>
          <w:rFonts w:ascii="Times New Roman" w:hAnsi="Times New Roman"/>
          <w:sz w:val="24"/>
          <w:szCs w:val="24"/>
        </w:rPr>
        <w:t xml:space="preserve"> </w:t>
      </w:r>
      <w:proofErr w:type="spellStart"/>
      <w:r w:rsidRPr="0060442A">
        <w:rPr>
          <w:rFonts w:ascii="Times New Roman" w:hAnsi="Times New Roman"/>
          <w:sz w:val="24"/>
          <w:szCs w:val="24"/>
        </w:rPr>
        <w:t>Kapur’s</w:t>
      </w:r>
      <w:proofErr w:type="spellEnd"/>
      <w:r w:rsidRPr="0060442A">
        <w:rPr>
          <w:rFonts w:ascii="Times New Roman" w:hAnsi="Times New Roman"/>
          <w:sz w:val="24"/>
          <w:szCs w:val="24"/>
        </w:rPr>
        <w:t xml:space="preserve"> Home and </w:t>
      </w:r>
      <w:proofErr w:type="spellStart"/>
      <w:r w:rsidRPr="0060442A">
        <w:rPr>
          <w:rFonts w:ascii="Times New Roman" w:hAnsi="Times New Roman"/>
          <w:sz w:val="24"/>
          <w:szCs w:val="24"/>
        </w:rPr>
        <w:t>Shobha</w:t>
      </w:r>
      <w:proofErr w:type="spellEnd"/>
      <w:r w:rsidRPr="0060442A">
        <w:rPr>
          <w:rFonts w:ascii="Times New Roman" w:hAnsi="Times New Roman"/>
          <w:sz w:val="24"/>
          <w:szCs w:val="24"/>
        </w:rPr>
        <w:t xml:space="preserve"> De’s Sisters. Both works set in a business background, present the central protagonists </w:t>
      </w:r>
      <w:proofErr w:type="spellStart"/>
      <w:r w:rsidRPr="0060442A">
        <w:rPr>
          <w:rFonts w:ascii="Times New Roman" w:hAnsi="Times New Roman"/>
          <w:sz w:val="24"/>
          <w:szCs w:val="24"/>
        </w:rPr>
        <w:t>Mikki</w:t>
      </w:r>
      <w:proofErr w:type="spellEnd"/>
      <w:r w:rsidRPr="0060442A">
        <w:rPr>
          <w:rFonts w:ascii="Times New Roman" w:hAnsi="Times New Roman"/>
          <w:sz w:val="24"/>
          <w:szCs w:val="24"/>
        </w:rPr>
        <w:t xml:space="preserve"> and </w:t>
      </w:r>
      <w:proofErr w:type="spellStart"/>
      <w:r w:rsidRPr="0060442A">
        <w:rPr>
          <w:rFonts w:ascii="Times New Roman" w:hAnsi="Times New Roman"/>
          <w:sz w:val="24"/>
          <w:szCs w:val="24"/>
        </w:rPr>
        <w:t>Nisha</w:t>
      </w:r>
      <w:proofErr w:type="spellEnd"/>
      <w:r w:rsidRPr="0060442A">
        <w:rPr>
          <w:rFonts w:ascii="Times New Roman" w:hAnsi="Times New Roman"/>
          <w:sz w:val="24"/>
          <w:szCs w:val="24"/>
        </w:rPr>
        <w:t xml:space="preserve"> as women who bravely face and struggle against the bounds of being ‘a woman’ and finally achieve their ardent quest towards being themselves. They affirm the capacity of the new educated Indian women to determine their priorities for self-discovery in emerging as a ‘new woman’.</w:t>
      </w:r>
    </w:p>
    <w:sectPr w:rsidR="003F2B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D6027"/>
    <w:rsid w:val="003F2B98"/>
    <w:rsid w:val="006D60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2020-10-14T04:52:00Z</dcterms:created>
  <dcterms:modified xsi:type="dcterms:W3CDTF">2020-10-14T04:52:00Z</dcterms:modified>
</cp:coreProperties>
</file>