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13" w:rsidRPr="003C0813" w:rsidRDefault="003C0813" w:rsidP="003C0813">
      <w:pPr>
        <w:jc w:val="center"/>
        <w:rPr>
          <w:rFonts w:ascii="Times New Roman" w:eastAsia="Times New Roman" w:hAnsi="Times New Roman"/>
          <w:b/>
          <w:color w:val="333333"/>
          <w:sz w:val="32"/>
          <w:szCs w:val="32"/>
        </w:rPr>
      </w:pPr>
      <w:r w:rsidRPr="003C0813">
        <w:rPr>
          <w:rFonts w:ascii="Times New Roman" w:eastAsia="Times New Roman" w:hAnsi="Times New Roman"/>
          <w:b/>
          <w:color w:val="333333"/>
          <w:sz w:val="32"/>
          <w:szCs w:val="32"/>
        </w:rPr>
        <w:t>Abstract</w:t>
      </w:r>
    </w:p>
    <w:p w:rsidR="00266702" w:rsidRDefault="003C0813" w:rsidP="003C0813">
      <w:pPr>
        <w:spacing w:line="360" w:lineRule="auto"/>
        <w:jc w:val="both"/>
      </w:pPr>
      <w:r>
        <w:rPr>
          <w:rFonts w:ascii="Georgia" w:hAnsi="Georgia"/>
          <w:color w:val="2E2E2E"/>
          <w:sz w:val="30"/>
          <w:szCs w:val="30"/>
        </w:rPr>
        <w:t xml:space="preserve">A new class of </w:t>
      </w:r>
      <w:proofErr w:type="spellStart"/>
      <w:proofErr w:type="gramStart"/>
      <w:r>
        <w:rPr>
          <w:rFonts w:ascii="Georgia" w:hAnsi="Georgia"/>
          <w:color w:val="2E2E2E"/>
          <w:sz w:val="30"/>
          <w:szCs w:val="30"/>
        </w:rPr>
        <w:t>pyrazolo</w:t>
      </w:r>
      <w:proofErr w:type="spellEnd"/>
      <w:r>
        <w:rPr>
          <w:rFonts w:ascii="Georgia" w:hAnsi="Georgia"/>
          <w:color w:val="2E2E2E"/>
          <w:sz w:val="30"/>
          <w:szCs w:val="30"/>
        </w:rPr>
        <w:t>[</w:t>
      </w:r>
      <w:proofErr w:type="gramEnd"/>
      <w:r>
        <w:rPr>
          <w:rFonts w:ascii="Georgia" w:hAnsi="Georgia"/>
          <w:color w:val="2E2E2E"/>
          <w:sz w:val="30"/>
          <w:szCs w:val="30"/>
        </w:rPr>
        <w:t>4,3-</w:t>
      </w:r>
      <w:r>
        <w:rPr>
          <w:rStyle w:val="Emphasis"/>
          <w:rFonts w:ascii="Georgia" w:hAnsi="Georgia"/>
          <w:color w:val="2E2E2E"/>
          <w:sz w:val="30"/>
          <w:szCs w:val="30"/>
        </w:rPr>
        <w:t>c</w:t>
      </w:r>
      <w:r>
        <w:rPr>
          <w:rFonts w:ascii="Georgia" w:hAnsi="Georgia"/>
          <w:color w:val="2E2E2E"/>
          <w:sz w:val="30"/>
          <w:szCs w:val="30"/>
        </w:rPr>
        <w:t>]</w:t>
      </w:r>
      <w:proofErr w:type="spellStart"/>
      <w:r>
        <w:rPr>
          <w:rFonts w:ascii="Georgia" w:hAnsi="Georgia"/>
          <w:color w:val="2E2E2E"/>
          <w:sz w:val="30"/>
          <w:szCs w:val="30"/>
        </w:rPr>
        <w:t>quinoline</w:t>
      </w:r>
      <w:proofErr w:type="spellEnd"/>
      <w:r>
        <w:rPr>
          <w:rFonts w:ascii="Georgia" w:hAnsi="Georgia"/>
          <w:color w:val="2E2E2E"/>
          <w:sz w:val="30"/>
          <w:szCs w:val="30"/>
        </w:rPr>
        <w:t xml:space="preserve"> (</w:t>
      </w:r>
      <w:r>
        <w:rPr>
          <w:rStyle w:val="Strong"/>
          <w:rFonts w:ascii="Georgia" w:hAnsi="Georgia"/>
          <w:color w:val="2E2E2E"/>
          <w:sz w:val="30"/>
          <w:szCs w:val="30"/>
        </w:rPr>
        <w:t>5a-i</w:t>
      </w:r>
      <w:r>
        <w:rPr>
          <w:rFonts w:ascii="Georgia" w:hAnsi="Georgia"/>
          <w:color w:val="2E2E2E"/>
          <w:sz w:val="30"/>
          <w:szCs w:val="30"/>
        </w:rPr>
        <w:t>, </w:t>
      </w:r>
      <w:r>
        <w:rPr>
          <w:rStyle w:val="Strong"/>
          <w:rFonts w:ascii="Georgia" w:hAnsi="Georgia"/>
          <w:color w:val="2E2E2E"/>
          <w:sz w:val="30"/>
          <w:szCs w:val="30"/>
        </w:rPr>
        <w:t>7a-b</w:t>
      </w:r>
      <w:r>
        <w:rPr>
          <w:rFonts w:ascii="Georgia" w:hAnsi="Georgia"/>
          <w:color w:val="2E2E2E"/>
          <w:sz w:val="30"/>
          <w:szCs w:val="30"/>
        </w:rPr>
        <w:t xml:space="preserve">) and </w:t>
      </w:r>
      <w:proofErr w:type="spellStart"/>
      <w:r>
        <w:rPr>
          <w:rFonts w:ascii="Georgia" w:hAnsi="Georgia"/>
          <w:color w:val="2E2E2E"/>
          <w:sz w:val="30"/>
          <w:szCs w:val="30"/>
        </w:rPr>
        <w:t>pyrano</w:t>
      </w:r>
      <w:proofErr w:type="spellEnd"/>
      <w:r>
        <w:rPr>
          <w:rFonts w:ascii="Georgia" w:hAnsi="Georgia"/>
          <w:color w:val="2E2E2E"/>
          <w:sz w:val="30"/>
          <w:szCs w:val="30"/>
        </w:rPr>
        <w:t>[3,2-</w:t>
      </w:r>
      <w:r>
        <w:rPr>
          <w:rStyle w:val="Emphasis"/>
          <w:rFonts w:ascii="Georgia" w:hAnsi="Georgia"/>
          <w:color w:val="2E2E2E"/>
          <w:sz w:val="30"/>
          <w:szCs w:val="30"/>
        </w:rPr>
        <w:t>c</w:t>
      </w:r>
      <w:r>
        <w:rPr>
          <w:rFonts w:ascii="Georgia" w:hAnsi="Georgia"/>
          <w:color w:val="2E2E2E"/>
          <w:sz w:val="30"/>
          <w:szCs w:val="30"/>
        </w:rPr>
        <w:t>]</w:t>
      </w:r>
      <w:proofErr w:type="spellStart"/>
      <w:r>
        <w:rPr>
          <w:rFonts w:ascii="Georgia" w:hAnsi="Georgia"/>
          <w:color w:val="2E2E2E"/>
          <w:sz w:val="30"/>
          <w:szCs w:val="30"/>
        </w:rPr>
        <w:t>quinoline</w:t>
      </w:r>
      <w:proofErr w:type="spellEnd"/>
      <w:r>
        <w:rPr>
          <w:rFonts w:ascii="Georgia" w:hAnsi="Georgia"/>
          <w:color w:val="2E2E2E"/>
          <w:sz w:val="30"/>
          <w:szCs w:val="30"/>
        </w:rPr>
        <w:t xml:space="preserve"> (</w:t>
      </w:r>
      <w:r>
        <w:rPr>
          <w:rStyle w:val="Strong"/>
          <w:rFonts w:ascii="Georgia" w:hAnsi="Georgia"/>
          <w:color w:val="2E2E2E"/>
          <w:sz w:val="30"/>
          <w:szCs w:val="30"/>
        </w:rPr>
        <w:t>9a-i</w:t>
      </w:r>
      <w:r>
        <w:rPr>
          <w:rFonts w:ascii="Georgia" w:hAnsi="Georgia"/>
          <w:color w:val="2E2E2E"/>
          <w:sz w:val="30"/>
          <w:szCs w:val="30"/>
        </w:rPr>
        <w:t xml:space="preserve">) derivatives were designed and synthesized in moderate to good yields by microwave conditions. To enhance the yield of </w:t>
      </w:r>
      <w:proofErr w:type="spellStart"/>
      <w:proofErr w:type="gramStart"/>
      <w:r>
        <w:rPr>
          <w:rFonts w:ascii="Georgia" w:hAnsi="Georgia"/>
          <w:color w:val="2E2E2E"/>
          <w:sz w:val="30"/>
          <w:szCs w:val="30"/>
        </w:rPr>
        <w:t>pyrano</w:t>
      </w:r>
      <w:proofErr w:type="spellEnd"/>
      <w:r>
        <w:rPr>
          <w:rFonts w:ascii="Georgia" w:hAnsi="Georgia"/>
          <w:color w:val="2E2E2E"/>
          <w:sz w:val="30"/>
          <w:szCs w:val="30"/>
        </w:rPr>
        <w:t>[</w:t>
      </w:r>
      <w:proofErr w:type="gramEnd"/>
      <w:r>
        <w:rPr>
          <w:rFonts w:ascii="Georgia" w:hAnsi="Georgia"/>
          <w:color w:val="2E2E2E"/>
          <w:sz w:val="30"/>
          <w:szCs w:val="30"/>
        </w:rPr>
        <w:t>3,2-</w:t>
      </w:r>
      <w:r>
        <w:rPr>
          <w:rStyle w:val="Emphasis"/>
          <w:rFonts w:ascii="Georgia" w:hAnsi="Georgia"/>
          <w:color w:val="2E2E2E"/>
          <w:sz w:val="30"/>
          <w:szCs w:val="30"/>
        </w:rPr>
        <w:t>c</w:t>
      </w:r>
      <w:r>
        <w:rPr>
          <w:rFonts w:ascii="Georgia" w:hAnsi="Georgia"/>
          <w:color w:val="2E2E2E"/>
          <w:sz w:val="30"/>
          <w:szCs w:val="30"/>
        </w:rPr>
        <w:t>]</w:t>
      </w:r>
      <w:proofErr w:type="spellStart"/>
      <w:r>
        <w:rPr>
          <w:rFonts w:ascii="Georgia" w:hAnsi="Georgia"/>
          <w:color w:val="2E2E2E"/>
          <w:sz w:val="30"/>
          <w:szCs w:val="30"/>
        </w:rPr>
        <w:t>quinoline</w:t>
      </w:r>
      <w:proofErr w:type="spellEnd"/>
      <w:r>
        <w:rPr>
          <w:rFonts w:ascii="Georgia" w:hAnsi="Georgia"/>
          <w:color w:val="2E2E2E"/>
          <w:sz w:val="30"/>
          <w:szCs w:val="30"/>
        </w:rPr>
        <w:t xml:space="preserve"> derivatives, </w:t>
      </w:r>
      <w:proofErr w:type="spellStart"/>
      <w:r>
        <w:rPr>
          <w:rFonts w:ascii="Georgia" w:hAnsi="Georgia"/>
          <w:color w:val="2E2E2E"/>
          <w:sz w:val="30"/>
          <w:szCs w:val="30"/>
        </w:rPr>
        <w:t>multicomponent</w:t>
      </w:r>
      <w:proofErr w:type="spellEnd"/>
      <w:r>
        <w:rPr>
          <w:rFonts w:ascii="Georgia" w:hAnsi="Georgia"/>
          <w:color w:val="2E2E2E"/>
          <w:sz w:val="30"/>
          <w:szCs w:val="30"/>
        </w:rPr>
        <w:t xml:space="preserve"> one-pot synthesis has been developed. The synthesized compounds were identified by spectral and elemental analyses. Compounds </w:t>
      </w:r>
      <w:r>
        <w:rPr>
          <w:rStyle w:val="Strong"/>
          <w:rFonts w:ascii="Georgia" w:hAnsi="Georgia"/>
          <w:color w:val="2E2E2E"/>
          <w:sz w:val="30"/>
          <w:szCs w:val="30"/>
        </w:rPr>
        <w:t>9a</w:t>
      </w:r>
      <w:r>
        <w:rPr>
          <w:rFonts w:ascii="Georgia" w:hAnsi="Georgia"/>
          <w:color w:val="2E2E2E"/>
          <w:sz w:val="30"/>
          <w:szCs w:val="30"/>
        </w:rPr>
        <w:t> and </w:t>
      </w:r>
      <w:r>
        <w:rPr>
          <w:rStyle w:val="Strong"/>
          <w:rFonts w:ascii="Georgia" w:hAnsi="Georgia"/>
          <w:color w:val="2E2E2E"/>
          <w:sz w:val="30"/>
          <w:szCs w:val="30"/>
        </w:rPr>
        <w:t>9i</w:t>
      </w:r>
      <w:r>
        <w:rPr>
          <w:rFonts w:ascii="Georgia" w:hAnsi="Georgia"/>
          <w:color w:val="2E2E2E"/>
          <w:sz w:val="30"/>
          <w:szCs w:val="30"/>
        </w:rPr>
        <w:t> showed good antibacterial activity against Gram-positive and Gram-negative bacterial strains. All of the new compounds exhibited weak to moderate antioxidant activity, compound </w:t>
      </w:r>
      <w:r>
        <w:rPr>
          <w:rStyle w:val="Strong"/>
          <w:rFonts w:ascii="Georgia" w:hAnsi="Georgia"/>
          <w:color w:val="2E2E2E"/>
          <w:sz w:val="30"/>
          <w:szCs w:val="30"/>
        </w:rPr>
        <w:t>9d</w:t>
      </w:r>
      <w:r>
        <w:rPr>
          <w:rFonts w:ascii="Georgia" w:hAnsi="Georgia"/>
          <w:color w:val="2E2E2E"/>
          <w:sz w:val="30"/>
          <w:szCs w:val="30"/>
        </w:rPr>
        <w:t xml:space="preserve"> exerted significant antioxidant power. The </w:t>
      </w:r>
      <w:proofErr w:type="spellStart"/>
      <w:r>
        <w:rPr>
          <w:rFonts w:ascii="Georgia" w:hAnsi="Georgia"/>
          <w:color w:val="2E2E2E"/>
          <w:sz w:val="30"/>
          <w:szCs w:val="30"/>
        </w:rPr>
        <w:t>cytotoxicity</w:t>
      </w:r>
      <w:proofErr w:type="spellEnd"/>
      <w:r>
        <w:rPr>
          <w:rFonts w:ascii="Georgia" w:hAnsi="Georgia"/>
          <w:color w:val="2E2E2E"/>
          <w:sz w:val="30"/>
          <w:szCs w:val="30"/>
        </w:rPr>
        <w:t xml:space="preserve"> of these compounds were also evaluated against MCF-7 (breast) and A549 (Lung) cancer cell lines. Most of the compounds displayed moderate to good </w:t>
      </w:r>
      <w:proofErr w:type="spellStart"/>
      <w:r>
        <w:rPr>
          <w:rFonts w:ascii="Georgia" w:hAnsi="Georgia"/>
          <w:color w:val="2E2E2E"/>
          <w:sz w:val="30"/>
          <w:szCs w:val="30"/>
        </w:rPr>
        <w:t>cytotoxic</w:t>
      </w:r>
      <w:proofErr w:type="spellEnd"/>
      <w:r>
        <w:rPr>
          <w:rFonts w:ascii="Georgia" w:hAnsi="Georgia"/>
          <w:color w:val="2E2E2E"/>
          <w:sz w:val="30"/>
          <w:szCs w:val="30"/>
        </w:rPr>
        <w:t xml:space="preserve"> activity against these cell lines. Compound </w:t>
      </w:r>
      <w:r>
        <w:rPr>
          <w:rStyle w:val="Strong"/>
          <w:rFonts w:ascii="Georgia" w:hAnsi="Georgia"/>
          <w:color w:val="2E2E2E"/>
          <w:sz w:val="30"/>
          <w:szCs w:val="30"/>
        </w:rPr>
        <w:t>9i</w:t>
      </w:r>
      <w:r>
        <w:rPr>
          <w:rFonts w:ascii="Georgia" w:hAnsi="Georgia"/>
          <w:color w:val="2E2E2E"/>
          <w:sz w:val="30"/>
          <w:szCs w:val="30"/>
        </w:rPr>
        <w:t> was found to be significantly active in this assay and also induced cell death by apoptosis. Molecular docking studies were carried out using EGFR inhibitor in order to determine the molecular interactions.</w:t>
      </w:r>
    </w:p>
    <w:sectPr w:rsidR="00266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C0813"/>
    <w:rsid w:val="00266702"/>
    <w:rsid w:val="003C0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0813"/>
    <w:rPr>
      <w:i/>
      <w:iCs/>
    </w:rPr>
  </w:style>
  <w:style w:type="character" w:styleId="Strong">
    <w:name w:val="Strong"/>
    <w:basedOn w:val="DefaultParagraphFont"/>
    <w:uiPriority w:val="22"/>
    <w:qFormat/>
    <w:rsid w:val="003C08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2020-10-17T06:42:00Z</dcterms:created>
  <dcterms:modified xsi:type="dcterms:W3CDTF">2020-10-17T06:43:00Z</dcterms:modified>
</cp:coreProperties>
</file>