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3" w:rsidRPr="00563123" w:rsidRDefault="00563123" w:rsidP="00563123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56312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9E41EE" w:rsidRDefault="00563123" w:rsidP="00563123">
      <w:pPr>
        <w:spacing w:line="360" w:lineRule="auto"/>
        <w:jc w:val="both"/>
      </w:pPr>
      <w:r w:rsidRPr="00BF556B">
        <w:rPr>
          <w:rFonts w:ascii="Times New Roman" w:eastAsia="Times New Roman" w:hAnsi="Times New Roman"/>
          <w:b/>
          <w:color w:val="333333"/>
          <w:sz w:val="28"/>
          <w:szCs w:val="28"/>
        </w:rPr>
        <w:t> </w:t>
      </w:r>
      <w:proofErr w:type="spellStart"/>
      <w:r w:rsidRPr="009B7274">
        <w:rPr>
          <w:rFonts w:ascii="Times New Roman" w:hAnsi="Times New Roman"/>
          <w:sz w:val="28"/>
          <w:szCs w:val="28"/>
        </w:rPr>
        <w:t>Heme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74">
        <w:rPr>
          <w:rFonts w:ascii="Times New Roman" w:hAnsi="Times New Roman"/>
          <w:sz w:val="28"/>
          <w:szCs w:val="28"/>
        </w:rPr>
        <w:t>oxygenase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(HO) is a </w:t>
      </w:r>
      <w:proofErr w:type="spellStart"/>
      <w:r w:rsidRPr="009B7274">
        <w:rPr>
          <w:rFonts w:ascii="Times New Roman" w:hAnsi="Times New Roman"/>
          <w:sz w:val="28"/>
          <w:szCs w:val="28"/>
        </w:rPr>
        <w:t>cytoprotective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enzyme that gets </w:t>
      </w:r>
      <w:proofErr w:type="spellStart"/>
      <w:r w:rsidRPr="009B7274">
        <w:rPr>
          <w:rFonts w:ascii="Times New Roman" w:hAnsi="Times New Roman"/>
          <w:sz w:val="28"/>
          <w:szCs w:val="28"/>
        </w:rPr>
        <w:t>overexpressed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under some pathological conditions, like cancer where it provides growth advantage and protection against radiotherapy, </w:t>
      </w:r>
      <w:proofErr w:type="spellStart"/>
      <w:r w:rsidRPr="009B7274">
        <w:rPr>
          <w:rFonts w:ascii="Times New Roman" w:hAnsi="Times New Roman"/>
          <w:sz w:val="28"/>
          <w:szCs w:val="28"/>
        </w:rPr>
        <w:t>chemotheraphy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and photodynamic therapy. Earlier studies on HO inhibition were carried out with </w:t>
      </w:r>
      <w:proofErr w:type="spellStart"/>
      <w:r w:rsidRPr="009B7274">
        <w:rPr>
          <w:rFonts w:ascii="Times New Roman" w:hAnsi="Times New Roman"/>
          <w:sz w:val="28"/>
          <w:szCs w:val="28"/>
        </w:rPr>
        <w:t>metalloporphyrins</w:t>
      </w:r>
      <w:proofErr w:type="spellEnd"/>
      <w:r w:rsidRPr="009B7274">
        <w:rPr>
          <w:rFonts w:ascii="Times New Roman" w:hAnsi="Times New Roman"/>
          <w:sz w:val="28"/>
          <w:szCs w:val="28"/>
        </w:rPr>
        <w:t>, which not only inhibit HO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 xml:space="preserve">1 but also other constitutively expressed HOs and other </w:t>
      </w:r>
      <w:proofErr w:type="spellStart"/>
      <w:r w:rsidRPr="009B7274">
        <w:rPr>
          <w:rFonts w:ascii="Times New Roman" w:hAnsi="Times New Roman"/>
          <w:sz w:val="28"/>
          <w:szCs w:val="28"/>
        </w:rPr>
        <w:t>heme</w:t>
      </w:r>
      <w:proofErr w:type="spellEnd"/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dependent enzymes. Hence, the present study was aimed at synthesizing highly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 xml:space="preserve">substituted </w:t>
      </w:r>
      <w:proofErr w:type="spellStart"/>
      <w:r w:rsidRPr="009B7274">
        <w:rPr>
          <w:rFonts w:ascii="Times New Roman" w:hAnsi="Times New Roman"/>
          <w:sz w:val="28"/>
          <w:szCs w:val="28"/>
        </w:rPr>
        <w:t>imidazole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74">
        <w:rPr>
          <w:rFonts w:ascii="Times New Roman" w:hAnsi="Times New Roman"/>
          <w:sz w:val="28"/>
          <w:szCs w:val="28"/>
        </w:rPr>
        <w:t>heterocycles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as inhibitors of </w:t>
      </w:r>
      <w:proofErr w:type="spellStart"/>
      <w:r w:rsidRPr="009B7274">
        <w:rPr>
          <w:rFonts w:ascii="Times New Roman" w:hAnsi="Times New Roman"/>
          <w:sz w:val="28"/>
          <w:szCs w:val="28"/>
        </w:rPr>
        <w:t>heme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oxygenase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1 (HO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1). The synthesized compounds were structurally characterized by IR, 1H, 13C NMR, CHN and single crystal XRD analysis. Among the synthesized</w:t>
      </w:r>
      <w:r>
        <w:rPr>
          <w:rFonts w:ascii="Times New Roman" w:hAnsi="Times New Roman"/>
          <w:sz w:val="28"/>
          <w:szCs w:val="28"/>
        </w:rPr>
        <w:t xml:space="preserve"> compounds</w:t>
      </w:r>
      <w:proofErr w:type="gramStart"/>
      <w:r>
        <w:rPr>
          <w:rFonts w:ascii="Times New Roman" w:hAnsi="Times New Roman"/>
          <w:sz w:val="28"/>
          <w:szCs w:val="28"/>
        </w:rPr>
        <w:t>,compound</w:t>
      </w:r>
      <w:r w:rsidRPr="009B7274">
        <w:rPr>
          <w:rFonts w:ascii="Times New Roman" w:hAnsi="Times New Roman"/>
          <w:sz w:val="28"/>
          <w:szCs w:val="28"/>
        </w:rPr>
        <w:t>6</w:t>
      </w:r>
      <w:proofErr w:type="gramEnd"/>
      <w:r w:rsidRPr="009B7274">
        <w:rPr>
          <w:rFonts w:ascii="Times New Roman" w:hAnsi="Times New Roman"/>
          <w:sz w:val="28"/>
          <w:szCs w:val="28"/>
        </w:rPr>
        <w:t>(3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(4,5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diphenyl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1H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imidazol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2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yl)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6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methoxy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1H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quinoline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2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one) showed &gt; 50% HO</w:t>
      </w:r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>1 inhibitory activity at a least concentration of 9.2 </w:t>
      </w:r>
      <w:proofErr w:type="spellStart"/>
      <w:r w:rsidRPr="009B7274">
        <w:rPr>
          <w:rFonts w:ascii="Times New Roman" w:hAnsi="Times New Roman"/>
          <w:sz w:val="28"/>
          <w:szCs w:val="28"/>
        </w:rPr>
        <w:t>μM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and like many pharmaceutically important drugs, it showed competitive inhibition which was confirmed by </w:t>
      </w:r>
      <w:proofErr w:type="spellStart"/>
      <w:r w:rsidRPr="009B7274">
        <w:rPr>
          <w:rFonts w:ascii="Times New Roman" w:hAnsi="Times New Roman"/>
          <w:sz w:val="28"/>
          <w:szCs w:val="28"/>
        </w:rPr>
        <w:t>Lineweaver</w:t>
      </w:r>
      <w:proofErr w:type="spellEnd"/>
      <w:r w:rsidRPr="009B7274">
        <w:rPr>
          <w:rFonts w:ascii="Cambria Math" w:hAnsi="Cambria Math" w:cs="Cambria Math"/>
          <w:sz w:val="28"/>
          <w:szCs w:val="28"/>
        </w:rPr>
        <w:t>‐</w:t>
      </w:r>
      <w:r w:rsidRPr="009B7274">
        <w:rPr>
          <w:rFonts w:ascii="Times New Roman" w:hAnsi="Times New Roman"/>
          <w:sz w:val="28"/>
          <w:szCs w:val="28"/>
        </w:rPr>
        <w:t xml:space="preserve">Burk plot. Compound 6 was also tested for </w:t>
      </w:r>
      <w:proofErr w:type="spellStart"/>
      <w:r w:rsidRPr="009B7274">
        <w:rPr>
          <w:rFonts w:ascii="Times New Roman" w:hAnsi="Times New Roman"/>
          <w:sz w:val="28"/>
          <w:szCs w:val="28"/>
        </w:rPr>
        <w:t>cytotoxicity</w:t>
      </w:r>
      <w:proofErr w:type="spellEnd"/>
      <w:r w:rsidRPr="009B7274">
        <w:rPr>
          <w:rFonts w:ascii="Times New Roman" w:hAnsi="Times New Roman"/>
          <w:sz w:val="28"/>
          <w:szCs w:val="28"/>
        </w:rPr>
        <w:t xml:space="preserve"> against cancer (A549, MG63, </w:t>
      </w:r>
      <w:proofErr w:type="gramStart"/>
      <w:r w:rsidRPr="009B7274">
        <w:rPr>
          <w:rFonts w:ascii="Times New Roman" w:hAnsi="Times New Roman"/>
          <w:sz w:val="28"/>
          <w:szCs w:val="28"/>
        </w:rPr>
        <w:t>MCF7</w:t>
      </w:r>
      <w:proofErr w:type="gramEnd"/>
      <w:r w:rsidRPr="009B7274">
        <w:rPr>
          <w:rFonts w:ascii="Times New Roman" w:hAnsi="Times New Roman"/>
          <w:sz w:val="28"/>
          <w:szCs w:val="28"/>
        </w:rPr>
        <w:t>) and normal cell (HEK293). The compound showed maximum efficacy against A549 cell line and moderate activity against other cell lines. In order to determine the molecular interactions of compound 6 with HO, the molecular docking study was carried out using Schrodinger software, which was in good agreement with experimental observations.</w:t>
      </w:r>
    </w:p>
    <w:sectPr w:rsidR="009E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63123"/>
    <w:rsid w:val="00563123"/>
    <w:rsid w:val="009E41EE"/>
    <w:rsid w:val="00B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2020-10-17T07:04:00Z</dcterms:created>
  <dcterms:modified xsi:type="dcterms:W3CDTF">2020-10-17T07:05:00Z</dcterms:modified>
</cp:coreProperties>
</file>