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A47" w:rsidRPr="00EB4A47" w:rsidRDefault="00EB4A47" w:rsidP="00EB4A47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EB4A47">
        <w:rPr>
          <w:rFonts w:ascii="Times New Roman" w:hAnsi="Times New Roman"/>
          <w:b/>
          <w:color w:val="000000" w:themeColor="text1"/>
          <w:sz w:val="32"/>
          <w:szCs w:val="32"/>
        </w:rPr>
        <w:t>Abstract</w:t>
      </w:r>
    </w:p>
    <w:p w:rsidR="00C1417E" w:rsidRDefault="00EB4A47" w:rsidP="00EB4A47">
      <w:pPr>
        <w:spacing w:line="360" w:lineRule="auto"/>
        <w:jc w:val="both"/>
      </w:pPr>
      <w:r w:rsidRPr="00686111">
        <w:rPr>
          <w:rFonts w:ascii="Times New Roman" w:hAnsi="Times New Roman"/>
          <w:color w:val="000000" w:themeColor="text1"/>
          <w:sz w:val="28"/>
          <w:szCs w:val="28"/>
        </w:rPr>
        <w:t xml:space="preserve"> The synchronization problem for both continuous and discrete time complex dynamical networks (CDNs) with time-varying delays is investigated. </w:t>
      </w:r>
      <w:proofErr w:type="spellStart"/>
      <w:r w:rsidRPr="00686111">
        <w:rPr>
          <w:rFonts w:ascii="Times New Roman" w:hAnsi="Times New Roman"/>
          <w:color w:val="000000" w:themeColor="text1"/>
          <w:sz w:val="28"/>
          <w:szCs w:val="28"/>
        </w:rPr>
        <w:t>Usingoptimal</w:t>
      </w:r>
      <w:proofErr w:type="spellEnd"/>
      <w:r w:rsidRPr="00686111">
        <w:rPr>
          <w:rFonts w:ascii="Times New Roman" w:hAnsi="Times New Roman"/>
          <w:color w:val="000000" w:themeColor="text1"/>
          <w:sz w:val="28"/>
          <w:szCs w:val="28"/>
        </w:rPr>
        <w:t xml:space="preserve"> partitioning method, time-varying delays are partitioned into </w:t>
      </w:r>
      <w:r w:rsidRPr="0068611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l </w:t>
      </w:r>
      <w:proofErr w:type="spellStart"/>
      <w:r w:rsidRPr="00686111">
        <w:rPr>
          <w:rFonts w:ascii="Times New Roman" w:hAnsi="Times New Roman"/>
          <w:color w:val="000000" w:themeColor="text1"/>
          <w:sz w:val="28"/>
          <w:szCs w:val="28"/>
        </w:rPr>
        <w:t>subintervalsand</w:t>
      </w:r>
      <w:proofErr w:type="spellEnd"/>
      <w:r w:rsidRPr="006861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86111">
        <w:rPr>
          <w:rFonts w:ascii="Times New Roman" w:hAnsi="Times New Roman"/>
          <w:color w:val="000000" w:themeColor="text1"/>
          <w:sz w:val="28"/>
          <w:szCs w:val="28"/>
        </w:rPr>
        <w:t>generalised</w:t>
      </w:r>
      <w:proofErr w:type="spellEnd"/>
      <w:r w:rsidRPr="00686111">
        <w:rPr>
          <w:rFonts w:ascii="Times New Roman" w:hAnsi="Times New Roman"/>
          <w:color w:val="000000" w:themeColor="text1"/>
          <w:sz w:val="28"/>
          <w:szCs w:val="28"/>
        </w:rPr>
        <w:t xml:space="preserve"> results are derived in terms of Linear matrix inequalities (LMIs).New delay-dependent synchronization criteria in terms of LMIs are derived by constructing appropriate </w:t>
      </w:r>
      <w:proofErr w:type="spellStart"/>
      <w:r w:rsidRPr="00686111">
        <w:rPr>
          <w:rFonts w:ascii="Times New Roman" w:hAnsi="Times New Roman"/>
          <w:color w:val="000000" w:themeColor="text1"/>
          <w:sz w:val="28"/>
          <w:szCs w:val="28"/>
        </w:rPr>
        <w:t>Lyapunov-Krasovskii</w:t>
      </w:r>
      <w:proofErr w:type="spellEnd"/>
      <w:r w:rsidRPr="00686111">
        <w:rPr>
          <w:rFonts w:ascii="Times New Roman" w:hAnsi="Times New Roman"/>
          <w:color w:val="000000" w:themeColor="text1"/>
          <w:sz w:val="28"/>
          <w:szCs w:val="28"/>
        </w:rPr>
        <w:t xml:space="preserve"> functional, reciprocally convex combination technique and some inequality techniques. Numerical examples are given </w:t>
      </w:r>
      <w:proofErr w:type="spellStart"/>
      <w:r w:rsidRPr="00686111">
        <w:rPr>
          <w:rFonts w:ascii="Times New Roman" w:hAnsi="Times New Roman"/>
          <w:color w:val="000000" w:themeColor="text1"/>
          <w:sz w:val="28"/>
          <w:szCs w:val="28"/>
        </w:rPr>
        <w:t>toillustrate</w:t>
      </w:r>
      <w:proofErr w:type="spellEnd"/>
      <w:r w:rsidRPr="00686111">
        <w:rPr>
          <w:rFonts w:ascii="Times New Roman" w:hAnsi="Times New Roman"/>
          <w:color w:val="000000" w:themeColor="text1"/>
          <w:sz w:val="28"/>
          <w:szCs w:val="28"/>
        </w:rPr>
        <w:t xml:space="preserve"> the effectiveness and advantage of the proposed synchronization criteria.</w:t>
      </w:r>
    </w:p>
    <w:sectPr w:rsidR="00C141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EB4A47"/>
    <w:rsid w:val="00C1417E"/>
    <w:rsid w:val="00EB4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2020-10-17T09:05:00Z</dcterms:created>
  <dcterms:modified xsi:type="dcterms:W3CDTF">2020-10-17T09:05:00Z</dcterms:modified>
</cp:coreProperties>
</file>