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E2" w:rsidRPr="00591CE2" w:rsidRDefault="00591CE2" w:rsidP="00591CE2">
      <w:pPr>
        <w:spacing w:after="183" w:line="360" w:lineRule="auto"/>
        <w:ind w:left="142" w:right="1254"/>
        <w:jc w:val="center"/>
        <w:rPr>
          <w:rFonts w:ascii="Times New Roman" w:eastAsia="Times New Roman" w:hAnsi="Times New Roman"/>
          <w:b/>
          <w:color w:val="333333"/>
          <w:sz w:val="32"/>
          <w:szCs w:val="32"/>
        </w:rPr>
      </w:pPr>
      <w:r w:rsidRPr="00591CE2">
        <w:rPr>
          <w:rFonts w:ascii="Times New Roman" w:eastAsia="Times New Roman" w:hAnsi="Times New Roman"/>
          <w:b/>
          <w:color w:val="333333"/>
          <w:sz w:val="32"/>
          <w:szCs w:val="32"/>
        </w:rPr>
        <w:t>Abstract</w:t>
      </w:r>
    </w:p>
    <w:p w:rsidR="00795A40" w:rsidRDefault="00591CE2" w:rsidP="00591CE2">
      <w:pPr>
        <w:spacing w:line="360" w:lineRule="auto"/>
        <w:jc w:val="both"/>
      </w:pPr>
      <w:r w:rsidRPr="006D4D1F">
        <w:rPr>
          <w:rFonts w:ascii="Times New Roman" w:eastAsia="Times New Roman" w:hAnsi="Times New Roman"/>
          <w:color w:val="333333"/>
          <w:sz w:val="24"/>
          <w:szCs w:val="24"/>
        </w:rPr>
        <w:t xml:space="preserve">The current investigation deals with utilizing Treated Goat Hoof (TGH), a no cost material derived from butcher shop for the removal of </w:t>
      </w:r>
      <w:proofErr w:type="spellStart"/>
      <w:proofErr w:type="gramStart"/>
      <w:r w:rsidRPr="006D4D1F">
        <w:rPr>
          <w:rFonts w:ascii="Times New Roman" w:eastAsia="Times New Roman" w:hAnsi="Times New Roman"/>
          <w:color w:val="333333"/>
          <w:sz w:val="24"/>
          <w:szCs w:val="24"/>
        </w:rPr>
        <w:t>Pb</w:t>
      </w:r>
      <w:proofErr w:type="spellEnd"/>
      <w:r w:rsidRPr="006D4D1F">
        <w:rPr>
          <w:rFonts w:ascii="Times New Roman" w:eastAsia="Times New Roman" w:hAnsi="Times New Roman"/>
          <w:color w:val="333333"/>
          <w:sz w:val="24"/>
          <w:szCs w:val="24"/>
        </w:rPr>
        <w:t>(</w:t>
      </w:r>
      <w:proofErr w:type="gramEnd"/>
      <w:r w:rsidRPr="006D4D1F">
        <w:rPr>
          <w:rFonts w:ascii="Times New Roman" w:eastAsia="Times New Roman" w:hAnsi="Times New Roman"/>
          <w:color w:val="333333"/>
          <w:sz w:val="24"/>
          <w:szCs w:val="24"/>
        </w:rPr>
        <w:t xml:space="preserve">II) and </w:t>
      </w:r>
      <w:proofErr w:type="spellStart"/>
      <w:r w:rsidRPr="006D4D1F">
        <w:rPr>
          <w:rFonts w:ascii="Times New Roman" w:eastAsia="Times New Roman" w:hAnsi="Times New Roman"/>
          <w:color w:val="333333"/>
          <w:sz w:val="24"/>
          <w:szCs w:val="24"/>
        </w:rPr>
        <w:t>Cd</w:t>
      </w:r>
      <w:proofErr w:type="spellEnd"/>
      <w:r w:rsidRPr="006D4D1F">
        <w:rPr>
          <w:rFonts w:ascii="Times New Roman" w:eastAsia="Times New Roman" w:hAnsi="Times New Roman"/>
          <w:color w:val="333333"/>
          <w:sz w:val="24"/>
          <w:szCs w:val="24"/>
        </w:rPr>
        <w:t xml:space="preserve">(II) ions from aqueous media. FTIR / SEM analyses are carried out for the functional groups identification and describe the surface morphology of the chosen material respectively. Batch studies are experimented under varied operating factors viz., particle size, dosage, initial concentration, contact time and pH of the medium to assess the </w:t>
      </w:r>
      <w:proofErr w:type="spellStart"/>
      <w:r w:rsidRPr="006D4D1F">
        <w:rPr>
          <w:rFonts w:ascii="Times New Roman" w:eastAsia="Times New Roman" w:hAnsi="Times New Roman"/>
          <w:color w:val="333333"/>
          <w:sz w:val="24"/>
          <w:szCs w:val="24"/>
        </w:rPr>
        <w:t>sorptive</w:t>
      </w:r>
      <w:proofErr w:type="spellEnd"/>
      <w:r w:rsidRPr="006D4D1F">
        <w:rPr>
          <w:rFonts w:ascii="Times New Roman" w:eastAsia="Times New Roman" w:hAnsi="Times New Roman"/>
          <w:color w:val="333333"/>
          <w:sz w:val="24"/>
          <w:szCs w:val="24"/>
        </w:rPr>
        <w:t xml:space="preserve"> nature of the chosen material.  Verification of the experimental data reveal the optimized conditions for the uptake of </w:t>
      </w:r>
      <w:proofErr w:type="spellStart"/>
      <w:proofErr w:type="gramStart"/>
      <w:r w:rsidRPr="006D4D1F">
        <w:rPr>
          <w:rFonts w:ascii="Times New Roman" w:eastAsia="Times New Roman" w:hAnsi="Times New Roman"/>
          <w:color w:val="333333"/>
          <w:sz w:val="24"/>
          <w:szCs w:val="24"/>
        </w:rPr>
        <w:t>Pb</w:t>
      </w:r>
      <w:proofErr w:type="spellEnd"/>
      <w:r w:rsidRPr="006D4D1F">
        <w:rPr>
          <w:rFonts w:ascii="Times New Roman" w:eastAsia="Times New Roman" w:hAnsi="Times New Roman"/>
          <w:color w:val="333333"/>
          <w:sz w:val="24"/>
          <w:szCs w:val="24"/>
        </w:rPr>
        <w:t>(</w:t>
      </w:r>
      <w:proofErr w:type="gramEnd"/>
      <w:r w:rsidRPr="006D4D1F">
        <w:rPr>
          <w:rFonts w:ascii="Times New Roman" w:eastAsia="Times New Roman" w:hAnsi="Times New Roman"/>
          <w:color w:val="333333"/>
          <w:sz w:val="24"/>
          <w:szCs w:val="24"/>
        </w:rPr>
        <w:t xml:space="preserve">II) and </w:t>
      </w:r>
      <w:proofErr w:type="spellStart"/>
      <w:r w:rsidRPr="006D4D1F">
        <w:rPr>
          <w:rFonts w:ascii="Times New Roman" w:eastAsia="Times New Roman" w:hAnsi="Times New Roman"/>
          <w:color w:val="333333"/>
          <w:sz w:val="24"/>
          <w:szCs w:val="24"/>
        </w:rPr>
        <w:t>Cd</w:t>
      </w:r>
      <w:proofErr w:type="spellEnd"/>
      <w:r w:rsidRPr="006D4D1F">
        <w:rPr>
          <w:rFonts w:ascii="Times New Roman" w:eastAsia="Times New Roman" w:hAnsi="Times New Roman"/>
          <w:color w:val="333333"/>
          <w:sz w:val="24"/>
          <w:szCs w:val="24"/>
        </w:rPr>
        <w:t xml:space="preserve">(II) by TGH. Langmuir model registered the best linearity amongst the isothermal plots derived for Langmuir, </w:t>
      </w:r>
      <w:proofErr w:type="spellStart"/>
      <w:r w:rsidRPr="006D4D1F">
        <w:rPr>
          <w:rFonts w:ascii="Times New Roman" w:eastAsia="Times New Roman" w:hAnsi="Times New Roman"/>
          <w:color w:val="333333"/>
          <w:sz w:val="24"/>
          <w:szCs w:val="24"/>
        </w:rPr>
        <w:t>Freundlich</w:t>
      </w:r>
      <w:proofErr w:type="spellEnd"/>
      <w:r w:rsidRPr="006D4D1F">
        <w:rPr>
          <w:rFonts w:ascii="Times New Roman" w:eastAsia="Times New Roman" w:hAnsi="Times New Roman"/>
          <w:color w:val="333333"/>
          <w:sz w:val="24"/>
          <w:szCs w:val="24"/>
        </w:rPr>
        <w:t xml:space="preserve"> and </w:t>
      </w:r>
      <w:proofErr w:type="spellStart"/>
      <w:r w:rsidRPr="006D4D1F">
        <w:rPr>
          <w:rFonts w:ascii="Times New Roman" w:eastAsia="Times New Roman" w:hAnsi="Times New Roman"/>
          <w:color w:val="333333"/>
          <w:sz w:val="24"/>
          <w:szCs w:val="24"/>
        </w:rPr>
        <w:t>Tempkin</w:t>
      </w:r>
      <w:proofErr w:type="spellEnd"/>
      <w:r w:rsidRPr="006D4D1F">
        <w:rPr>
          <w:rFonts w:ascii="Times New Roman" w:eastAsia="Times New Roman" w:hAnsi="Times New Roman"/>
          <w:color w:val="333333"/>
          <w:sz w:val="24"/>
          <w:szCs w:val="24"/>
        </w:rPr>
        <w:t xml:space="preserve"> models. Experimental results of both the systems: </w:t>
      </w:r>
      <w:proofErr w:type="spellStart"/>
      <w:proofErr w:type="gramStart"/>
      <w:r w:rsidRPr="006D4D1F">
        <w:rPr>
          <w:rFonts w:ascii="Times New Roman" w:eastAsia="Times New Roman" w:hAnsi="Times New Roman"/>
          <w:color w:val="333333"/>
          <w:sz w:val="24"/>
          <w:szCs w:val="24"/>
        </w:rPr>
        <w:t>Pb</w:t>
      </w:r>
      <w:proofErr w:type="spellEnd"/>
      <w:r w:rsidRPr="006D4D1F">
        <w:rPr>
          <w:rFonts w:ascii="Times New Roman" w:eastAsia="Times New Roman" w:hAnsi="Times New Roman"/>
          <w:color w:val="333333"/>
          <w:sz w:val="24"/>
          <w:szCs w:val="24"/>
        </w:rPr>
        <w:t>(</w:t>
      </w:r>
      <w:proofErr w:type="gramEnd"/>
      <w:r w:rsidRPr="006D4D1F">
        <w:rPr>
          <w:rFonts w:ascii="Times New Roman" w:eastAsia="Times New Roman" w:hAnsi="Times New Roman"/>
          <w:color w:val="333333"/>
          <w:sz w:val="24"/>
          <w:szCs w:val="24"/>
        </w:rPr>
        <w:t xml:space="preserve">II) – TGH and </w:t>
      </w:r>
      <w:proofErr w:type="spellStart"/>
      <w:r w:rsidRPr="006D4D1F">
        <w:rPr>
          <w:rFonts w:ascii="Times New Roman" w:eastAsia="Times New Roman" w:hAnsi="Times New Roman"/>
          <w:color w:val="333333"/>
          <w:sz w:val="24"/>
          <w:szCs w:val="24"/>
        </w:rPr>
        <w:t>Cd</w:t>
      </w:r>
      <w:proofErr w:type="spellEnd"/>
      <w:r w:rsidRPr="006D4D1F">
        <w:rPr>
          <w:rFonts w:ascii="Times New Roman" w:eastAsia="Times New Roman" w:hAnsi="Times New Roman"/>
          <w:color w:val="333333"/>
          <w:sz w:val="24"/>
          <w:szCs w:val="24"/>
        </w:rPr>
        <w:t>(II)- TGH are subjected to Statistical tool analyses using SPSS 20 software for significance and correlation assessment.</w:t>
      </w:r>
    </w:p>
    <w:sectPr w:rsidR="00795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91CE2"/>
    <w:rsid w:val="00591CE2"/>
    <w:rsid w:val="00795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2020-12-16T06:22:00Z</dcterms:created>
  <dcterms:modified xsi:type="dcterms:W3CDTF">2020-12-16T06:23:00Z</dcterms:modified>
</cp:coreProperties>
</file>