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E0" w:rsidRPr="00225DE0" w:rsidRDefault="00225DE0" w:rsidP="00225DE0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225DE0">
        <w:rPr>
          <w:rFonts w:ascii="Times New Roman" w:eastAsia="Times New Roman" w:hAnsi="Times New Roman"/>
          <w:b/>
          <w:color w:val="333333"/>
          <w:sz w:val="28"/>
          <w:szCs w:val="28"/>
        </w:rPr>
        <w:t>Abstract</w:t>
      </w:r>
    </w:p>
    <w:p w:rsidR="00875136" w:rsidRDefault="00225DE0" w:rsidP="00225DE0">
      <w:pPr>
        <w:spacing w:line="360" w:lineRule="auto"/>
        <w:jc w:val="both"/>
      </w:pPr>
      <w:r w:rsidRPr="00F9115D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F9115D">
        <w:rPr>
          <w:rFonts w:ascii="Times New Roman" w:eastAsia="Times New Roman" w:hAnsi="Times New Roman"/>
          <w:color w:val="333333"/>
          <w:sz w:val="24"/>
          <w:szCs w:val="24"/>
        </w:rPr>
        <w:t xml:space="preserve">This paper brings the vital role of Cholas, </w:t>
      </w:r>
      <w:proofErr w:type="spellStart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>Pandiyas</w:t>
      </w:r>
      <w:proofErr w:type="spellEnd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>Cheras</w:t>
      </w:r>
      <w:proofErr w:type="spellEnd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 xml:space="preserve"> bravery and glory. Also, this article illustrates the </w:t>
      </w:r>
      <w:proofErr w:type="spellStart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>Muvendhar’s</w:t>
      </w:r>
      <w:proofErr w:type="spellEnd"/>
      <w:r w:rsidRPr="00F9115D">
        <w:rPr>
          <w:rFonts w:ascii="Times New Roman" w:eastAsia="Times New Roman" w:hAnsi="Times New Roman"/>
          <w:color w:val="333333"/>
          <w:sz w:val="24"/>
          <w:szCs w:val="24"/>
        </w:rPr>
        <w:t xml:space="preserve"> humanity towards the wealth of society.</w:t>
      </w:r>
    </w:p>
    <w:sectPr w:rsidR="0087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225DE0"/>
    <w:rsid w:val="00225DE0"/>
    <w:rsid w:val="0087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2021-01-02T06:43:00Z</dcterms:created>
  <dcterms:modified xsi:type="dcterms:W3CDTF">2021-01-02T06:43:00Z</dcterms:modified>
</cp:coreProperties>
</file>