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D70" w:rsidRDefault="00F70FF7" w:rsidP="00F70FF7">
      <w:pPr>
        <w:jc w:val="both"/>
      </w:pPr>
      <w:r w:rsidRPr="00572848">
        <w:rPr>
          <w:rFonts w:ascii="Trebuchet MS" w:eastAsia="Times New Roman" w:hAnsi="Trebuchet MS"/>
        </w:rPr>
        <w:t>Organizational justice refers to fairness and ethical behaviour within an organization. Organizational commitment is defined as the extent that an individual accepts, internalizes, and views his or her role based on organizational values and goals. In the present study an attempt was made to study the impact of organizational justice on organizational commitment. A convenience sample consisting of forty five supervisors working in textile industry participated in the study. Questionnaires were used for data collection. The collected data was analysed with mean, standard deviation, t-test, correlation and regression tests. Results indicated that sixty eight per cent of the variance in organisational commitment was explained by organisational justice</w:t>
      </w:r>
    </w:p>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0FF7"/>
    <w:rsid w:val="00815137"/>
    <w:rsid w:val="00860D70"/>
    <w:rsid w:val="00F70FF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2020-12-01T05:49:00Z</dcterms:created>
  <dcterms:modified xsi:type="dcterms:W3CDTF">2020-12-01T05:50:00Z</dcterms:modified>
</cp:coreProperties>
</file>