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C0" w:rsidRPr="002C49C0" w:rsidRDefault="002C49C0" w:rsidP="002C49C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C0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2C49C0" w:rsidRPr="002C49C0" w:rsidRDefault="002C49C0" w:rsidP="002C4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 xml:space="preserve">This paper analyzes the significance of socio-economic factors of the respondents on awareness of digital financial services among 150 respondents belonging to rural households of Coimbatore using one way-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Anova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>. The study found that all socio economic factors significantly influence the awareness of the digital financial services except number of adults in the household and ownership of land.</w:t>
      </w:r>
    </w:p>
    <w:p w:rsidR="006A2431" w:rsidRPr="002C49C0" w:rsidRDefault="006A2431" w:rsidP="002C49C0"/>
    <w:sectPr w:rsidR="006A2431" w:rsidRPr="002C49C0" w:rsidSect="006A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9C0"/>
    <w:rsid w:val="002C49C0"/>
    <w:rsid w:val="006A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C0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PSGRKCW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2021-10-25T05:14:00Z</dcterms:created>
  <dcterms:modified xsi:type="dcterms:W3CDTF">2021-10-25T05:15:00Z</dcterms:modified>
</cp:coreProperties>
</file>