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38" w:rsidRPr="002B0938" w:rsidRDefault="002B0938" w:rsidP="002B0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2B0938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Abstract</w:t>
      </w:r>
    </w:p>
    <w:p w:rsidR="002B0938" w:rsidRDefault="002B0938" w:rsidP="002B0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938" w:rsidRPr="00001DB6" w:rsidRDefault="002B0938" w:rsidP="002B0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DB6">
        <w:rPr>
          <w:rFonts w:ascii="Times New Roman" w:eastAsia="Times New Roman" w:hAnsi="Times New Roman" w:cs="Times New Roman"/>
          <w:sz w:val="24"/>
          <w:szCs w:val="24"/>
          <w:lang w:eastAsia="en-IN"/>
        </w:rPr>
        <w:t>“Learning Styles” has been regarded as one of the most important factors that controls the way of people learning. There is also a propensity to match students learning styles to the teaching styles of concerned teachers. There is a strong tendency for teachers and course designers to pay closer attention to students learning styles.</w:t>
      </w:r>
    </w:p>
    <w:p w:rsidR="006A2431" w:rsidRDefault="006A2431"/>
    <w:sectPr w:rsidR="006A2431" w:rsidSect="006A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938"/>
    <w:rsid w:val="002B0938"/>
    <w:rsid w:val="006A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38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PSGRKCW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2021-10-25T07:05:00Z</dcterms:created>
  <dcterms:modified xsi:type="dcterms:W3CDTF">2021-10-25T07:06:00Z</dcterms:modified>
</cp:coreProperties>
</file>