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221" w:rsidRPr="007B3221" w:rsidRDefault="007B3221" w:rsidP="007B3221">
      <w:pPr>
        <w:jc w:val="center"/>
        <w:rPr>
          <w:rFonts w:ascii="Times New Roman" w:hAnsi="Times New Roman" w:cs="Times New Roman"/>
          <w:color w:val="2E2E2E"/>
          <w:sz w:val="32"/>
          <w:szCs w:val="32"/>
          <w:u w:val="single"/>
        </w:rPr>
      </w:pPr>
      <w:r w:rsidRPr="007B3221">
        <w:rPr>
          <w:rFonts w:ascii="Times New Roman" w:hAnsi="Times New Roman" w:cs="Times New Roman"/>
          <w:color w:val="2E2E2E"/>
          <w:sz w:val="32"/>
          <w:szCs w:val="32"/>
          <w:u w:val="single"/>
        </w:rPr>
        <w:t>ABSTRACT</w:t>
      </w:r>
      <w:bookmarkStart w:id="0" w:name="_GoBack"/>
      <w:bookmarkEnd w:id="0"/>
    </w:p>
    <w:p w:rsidR="007B3221" w:rsidRDefault="007B3221" w:rsidP="009E3169">
      <w:pPr>
        <w:jc w:val="both"/>
        <w:rPr>
          <w:rFonts w:ascii="Times New Roman" w:hAnsi="Times New Roman" w:cs="Times New Roman"/>
          <w:color w:val="2E2E2E"/>
          <w:sz w:val="32"/>
          <w:szCs w:val="32"/>
        </w:rPr>
      </w:pPr>
    </w:p>
    <w:p w:rsidR="00011432" w:rsidRPr="00CF55A2" w:rsidRDefault="009E3169" w:rsidP="009E3169">
      <w:pPr>
        <w:jc w:val="both"/>
        <w:rPr>
          <w:rFonts w:ascii="Times New Roman" w:hAnsi="Times New Roman" w:cs="Times New Roman"/>
          <w:sz w:val="32"/>
          <w:szCs w:val="32"/>
        </w:rPr>
      </w:pPr>
      <w:r w:rsidRPr="00CF55A2">
        <w:rPr>
          <w:rFonts w:ascii="Times New Roman" w:hAnsi="Times New Roman" w:cs="Times New Roman"/>
          <w:color w:val="2E2E2E"/>
          <w:sz w:val="32"/>
          <w:szCs w:val="32"/>
        </w:rPr>
        <w:t>The antimicrobial and antioxidant effects of different spice extracts in </w:t>
      </w:r>
      <w:hyperlink r:id="rId4" w:tooltip="Learn more about raw chicken meat from ScienceDirect's AI-generated Topic Pages" w:history="1">
        <w:r w:rsidRPr="00CF55A2">
          <w:rPr>
            <w:rStyle w:val="Hyperlink"/>
            <w:rFonts w:ascii="Times New Roman" w:hAnsi="Times New Roman" w:cs="Times New Roman"/>
            <w:color w:val="2E2E2E"/>
            <w:sz w:val="32"/>
            <w:szCs w:val="32"/>
          </w:rPr>
          <w:t>raw chicken meat</w:t>
        </w:r>
      </w:hyperlink>
      <w:r w:rsidRPr="00CF55A2">
        <w:rPr>
          <w:rFonts w:ascii="Times New Roman" w:hAnsi="Times New Roman" w:cs="Times New Roman"/>
          <w:color w:val="2E2E2E"/>
          <w:sz w:val="32"/>
          <w:szCs w:val="32"/>
        </w:rPr>
        <w:t> during storage for 15 days at 4 °C were studied. Raw chicken meat was treated with BHT (positive control), </w:t>
      </w:r>
      <w:proofErr w:type="spellStart"/>
      <w:r w:rsidRPr="00CF55A2">
        <w:rPr>
          <w:rFonts w:ascii="Times New Roman" w:hAnsi="Times New Roman" w:cs="Times New Roman"/>
          <w:color w:val="2E2E2E"/>
          <w:sz w:val="32"/>
          <w:szCs w:val="32"/>
        </w:rPr>
        <w:fldChar w:fldCharType="begin"/>
      </w:r>
      <w:r w:rsidRPr="00CF55A2">
        <w:rPr>
          <w:rFonts w:ascii="Times New Roman" w:hAnsi="Times New Roman" w:cs="Times New Roman"/>
          <w:color w:val="2E2E2E"/>
          <w:sz w:val="32"/>
          <w:szCs w:val="32"/>
        </w:rPr>
        <w:instrText xml:space="preserve"> HYPERLINK "https://www.sciencedirect.com/topics/immunology-and-microbiology/syzygium" \o "Learn more about Syzygium from ScienceDirect's AI-generated Topic Pages" </w:instrText>
      </w:r>
      <w:r w:rsidRPr="00CF55A2">
        <w:rPr>
          <w:rFonts w:ascii="Times New Roman" w:hAnsi="Times New Roman" w:cs="Times New Roman"/>
          <w:color w:val="2E2E2E"/>
          <w:sz w:val="32"/>
          <w:szCs w:val="32"/>
        </w:rPr>
        <w:fldChar w:fldCharType="separate"/>
      </w:r>
      <w:r w:rsidRPr="00CF55A2">
        <w:rPr>
          <w:rStyle w:val="Hyperlink"/>
          <w:rFonts w:ascii="Times New Roman" w:hAnsi="Times New Roman" w:cs="Times New Roman"/>
          <w:color w:val="2E2E2E"/>
          <w:sz w:val="32"/>
          <w:szCs w:val="32"/>
        </w:rPr>
        <w:t>Syzygium</w:t>
      </w:r>
      <w:proofErr w:type="spellEnd"/>
      <w:r w:rsidRPr="00CF55A2">
        <w:rPr>
          <w:rFonts w:ascii="Times New Roman" w:hAnsi="Times New Roman" w:cs="Times New Roman"/>
          <w:color w:val="2E2E2E"/>
          <w:sz w:val="32"/>
          <w:szCs w:val="32"/>
        </w:rPr>
        <w:fldChar w:fldCharType="end"/>
      </w:r>
      <w:r w:rsidRPr="00CF55A2">
        <w:rPr>
          <w:rFonts w:ascii="Times New Roman" w:hAnsi="Times New Roman" w:cs="Times New Roman"/>
          <w:color w:val="2E2E2E"/>
          <w:sz w:val="32"/>
          <w:szCs w:val="32"/>
        </w:rPr>
        <w:t> </w:t>
      </w:r>
      <w:proofErr w:type="spellStart"/>
      <w:r w:rsidRPr="00CF55A2">
        <w:rPr>
          <w:rFonts w:ascii="Times New Roman" w:hAnsi="Times New Roman" w:cs="Times New Roman"/>
          <w:color w:val="2E2E2E"/>
          <w:sz w:val="32"/>
          <w:szCs w:val="32"/>
        </w:rPr>
        <w:t>aromaticum</w:t>
      </w:r>
      <w:proofErr w:type="spellEnd"/>
      <w:r w:rsidRPr="00CF55A2">
        <w:rPr>
          <w:rFonts w:ascii="Times New Roman" w:hAnsi="Times New Roman" w:cs="Times New Roman"/>
          <w:color w:val="2E2E2E"/>
          <w:sz w:val="32"/>
          <w:szCs w:val="32"/>
        </w:rPr>
        <w:t xml:space="preserve"> (SA), </w:t>
      </w:r>
      <w:proofErr w:type="spellStart"/>
      <w:r w:rsidRPr="00CF55A2">
        <w:rPr>
          <w:rStyle w:val="Emphasis"/>
          <w:rFonts w:ascii="Times New Roman" w:hAnsi="Times New Roman" w:cs="Times New Roman"/>
          <w:color w:val="2E2E2E"/>
          <w:sz w:val="32"/>
          <w:szCs w:val="32"/>
        </w:rPr>
        <w:t>Cinnmomum</w:t>
      </w:r>
      <w:proofErr w:type="spellEnd"/>
      <w:r w:rsidRPr="00CF55A2">
        <w:rPr>
          <w:rStyle w:val="Emphasis"/>
          <w:rFonts w:ascii="Times New Roman" w:hAnsi="Times New Roman" w:cs="Times New Roman"/>
          <w:color w:val="2E2E2E"/>
          <w:sz w:val="32"/>
          <w:szCs w:val="32"/>
        </w:rPr>
        <w:t xml:space="preserve"> cassia</w:t>
      </w:r>
      <w:r w:rsidRPr="00CF55A2">
        <w:rPr>
          <w:rFonts w:ascii="Times New Roman" w:hAnsi="Times New Roman" w:cs="Times New Roman"/>
          <w:color w:val="2E2E2E"/>
          <w:sz w:val="32"/>
          <w:szCs w:val="32"/>
        </w:rPr>
        <w:t> (CC), </w:t>
      </w:r>
      <w:proofErr w:type="spellStart"/>
      <w:r w:rsidRPr="00CF55A2">
        <w:rPr>
          <w:rStyle w:val="Emphasis"/>
          <w:rFonts w:ascii="Times New Roman" w:hAnsi="Times New Roman" w:cs="Times New Roman"/>
          <w:color w:val="2E2E2E"/>
          <w:sz w:val="32"/>
          <w:szCs w:val="32"/>
        </w:rPr>
        <w:fldChar w:fldCharType="begin"/>
      </w:r>
      <w:r w:rsidRPr="00CF55A2">
        <w:rPr>
          <w:rStyle w:val="Emphasis"/>
          <w:rFonts w:ascii="Times New Roman" w:hAnsi="Times New Roman" w:cs="Times New Roman"/>
          <w:color w:val="2E2E2E"/>
          <w:sz w:val="32"/>
          <w:szCs w:val="32"/>
        </w:rPr>
        <w:instrText xml:space="preserve"> HYPERLINK "https://www.sciencedirect.com/topics/immunology-and-microbiology/origanum" \o "Learn more about Origanum from ScienceDirect's AI-generated Topic Pages" </w:instrText>
      </w:r>
      <w:r w:rsidRPr="00CF55A2">
        <w:rPr>
          <w:rStyle w:val="Emphasis"/>
          <w:rFonts w:ascii="Times New Roman" w:hAnsi="Times New Roman" w:cs="Times New Roman"/>
          <w:color w:val="2E2E2E"/>
          <w:sz w:val="32"/>
          <w:szCs w:val="32"/>
        </w:rPr>
        <w:fldChar w:fldCharType="separate"/>
      </w:r>
      <w:r w:rsidRPr="00CF55A2">
        <w:rPr>
          <w:rStyle w:val="Hyperlink"/>
          <w:rFonts w:ascii="Times New Roman" w:hAnsi="Times New Roman" w:cs="Times New Roman"/>
          <w:i/>
          <w:iCs/>
          <w:color w:val="2E2E2E"/>
          <w:sz w:val="32"/>
          <w:szCs w:val="32"/>
        </w:rPr>
        <w:t>Origanum</w:t>
      </w:r>
      <w:proofErr w:type="spellEnd"/>
      <w:r w:rsidRPr="00CF55A2">
        <w:rPr>
          <w:rStyle w:val="Emphasis"/>
          <w:rFonts w:ascii="Times New Roman" w:hAnsi="Times New Roman" w:cs="Times New Roman"/>
          <w:color w:val="2E2E2E"/>
          <w:sz w:val="32"/>
          <w:szCs w:val="32"/>
        </w:rPr>
        <w:fldChar w:fldCharType="end"/>
      </w:r>
      <w:r w:rsidRPr="00CF55A2">
        <w:rPr>
          <w:rStyle w:val="Emphasis"/>
          <w:rFonts w:ascii="Times New Roman" w:hAnsi="Times New Roman" w:cs="Times New Roman"/>
          <w:color w:val="2E2E2E"/>
          <w:sz w:val="32"/>
          <w:szCs w:val="32"/>
        </w:rPr>
        <w:t> </w:t>
      </w:r>
      <w:proofErr w:type="spellStart"/>
      <w:r w:rsidRPr="00CF55A2">
        <w:rPr>
          <w:rStyle w:val="Emphasis"/>
          <w:rFonts w:ascii="Times New Roman" w:hAnsi="Times New Roman" w:cs="Times New Roman"/>
          <w:color w:val="2E2E2E"/>
          <w:sz w:val="32"/>
          <w:szCs w:val="32"/>
        </w:rPr>
        <w:t>vulgare</w:t>
      </w:r>
      <w:proofErr w:type="spellEnd"/>
      <w:r w:rsidRPr="00CF55A2">
        <w:rPr>
          <w:rFonts w:ascii="Times New Roman" w:hAnsi="Times New Roman" w:cs="Times New Roman"/>
          <w:color w:val="2E2E2E"/>
          <w:sz w:val="32"/>
          <w:szCs w:val="32"/>
        </w:rPr>
        <w:t> (OV), and </w:t>
      </w:r>
      <w:hyperlink r:id="rId5" w:tooltip="Learn more about Brassica from ScienceDirect's AI-generated Topic Pages" w:history="1">
        <w:r w:rsidRPr="00CF55A2">
          <w:rPr>
            <w:rStyle w:val="Hyperlink"/>
            <w:rFonts w:ascii="Times New Roman" w:hAnsi="Times New Roman" w:cs="Times New Roman"/>
            <w:i/>
            <w:iCs/>
            <w:color w:val="2E2E2E"/>
            <w:sz w:val="32"/>
            <w:szCs w:val="32"/>
          </w:rPr>
          <w:t>Brassica</w:t>
        </w:r>
      </w:hyperlink>
      <w:r w:rsidRPr="00CF55A2">
        <w:rPr>
          <w:rStyle w:val="Emphasis"/>
          <w:rFonts w:ascii="Times New Roman" w:hAnsi="Times New Roman" w:cs="Times New Roman"/>
          <w:color w:val="2E2E2E"/>
          <w:sz w:val="32"/>
          <w:szCs w:val="32"/>
        </w:rPr>
        <w:t> </w:t>
      </w:r>
      <w:proofErr w:type="spellStart"/>
      <w:r w:rsidRPr="00CF55A2">
        <w:rPr>
          <w:rStyle w:val="Emphasis"/>
          <w:rFonts w:ascii="Times New Roman" w:hAnsi="Times New Roman" w:cs="Times New Roman"/>
          <w:color w:val="2E2E2E"/>
          <w:sz w:val="32"/>
          <w:szCs w:val="32"/>
        </w:rPr>
        <w:t>nigra</w:t>
      </w:r>
      <w:proofErr w:type="spellEnd"/>
      <w:r w:rsidRPr="00CF55A2">
        <w:rPr>
          <w:rFonts w:ascii="Times New Roman" w:hAnsi="Times New Roman" w:cs="Times New Roman"/>
          <w:color w:val="2E2E2E"/>
          <w:sz w:val="32"/>
          <w:szCs w:val="32"/>
        </w:rPr>
        <w:t> (BN) extracts and the different combinations as well as the results were compared to raw chicken meat without any additive (negative control). The antioxidant and antimicrobial activities of spice extracts were determined. Total phenolic contents and </w:t>
      </w:r>
      <w:hyperlink r:id="rId6" w:tooltip="Learn more about flavonoid from ScienceDirect's AI-generated Topic Pages" w:history="1">
        <w:r w:rsidRPr="00CF55A2">
          <w:rPr>
            <w:rStyle w:val="Hyperlink"/>
            <w:rFonts w:ascii="Times New Roman" w:hAnsi="Times New Roman" w:cs="Times New Roman"/>
            <w:color w:val="2E2E2E"/>
            <w:sz w:val="32"/>
            <w:szCs w:val="32"/>
          </w:rPr>
          <w:t>flavonoid</w:t>
        </w:r>
      </w:hyperlink>
      <w:r w:rsidRPr="00CF55A2">
        <w:rPr>
          <w:rFonts w:ascii="Times New Roman" w:hAnsi="Times New Roman" w:cs="Times New Roman"/>
          <w:color w:val="2E2E2E"/>
          <w:sz w:val="32"/>
          <w:szCs w:val="32"/>
        </w:rPr>
        <w:t xml:space="preserve"> contents were ranged from 14.09 ± 0.78 to 24.65 ± 0.83 mg of GAE/g and 7.07 ± 0.15 to 12.13 ± 0.24 mg of </w:t>
      </w:r>
      <w:proofErr w:type="spellStart"/>
      <w:r w:rsidRPr="00CF55A2">
        <w:rPr>
          <w:rFonts w:ascii="Times New Roman" w:hAnsi="Times New Roman" w:cs="Times New Roman"/>
          <w:color w:val="2E2E2E"/>
          <w:sz w:val="32"/>
          <w:szCs w:val="32"/>
        </w:rPr>
        <w:t>quercetin</w:t>
      </w:r>
      <w:proofErr w:type="spellEnd"/>
      <w:r w:rsidRPr="00CF55A2">
        <w:rPr>
          <w:rFonts w:ascii="Times New Roman" w:hAnsi="Times New Roman" w:cs="Times New Roman"/>
          <w:color w:val="2E2E2E"/>
          <w:sz w:val="32"/>
          <w:szCs w:val="32"/>
        </w:rPr>
        <w:t>/g, respectively. The pH, instrumental color (CIE L*, a*, b*), </w:t>
      </w:r>
      <w:hyperlink r:id="rId7" w:tooltip="Learn more about total viable counts from ScienceDirect's AI-generated Topic Pages" w:history="1">
        <w:r w:rsidRPr="00CF55A2">
          <w:rPr>
            <w:rStyle w:val="Hyperlink"/>
            <w:rFonts w:ascii="Times New Roman" w:hAnsi="Times New Roman" w:cs="Times New Roman"/>
            <w:color w:val="2E2E2E"/>
            <w:sz w:val="32"/>
            <w:szCs w:val="32"/>
          </w:rPr>
          <w:t>total viable counts</w:t>
        </w:r>
      </w:hyperlink>
      <w:r w:rsidRPr="00CF55A2">
        <w:rPr>
          <w:rFonts w:ascii="Times New Roman" w:hAnsi="Times New Roman" w:cs="Times New Roman"/>
          <w:color w:val="2E2E2E"/>
          <w:sz w:val="32"/>
          <w:szCs w:val="32"/>
        </w:rPr>
        <w:t> (TVC), </w:t>
      </w:r>
      <w:hyperlink r:id="rId8" w:tooltip="Learn more about Lactic Acid Bacteria from ScienceDirect's AI-generated Topic Pages" w:history="1">
        <w:r w:rsidRPr="00CF55A2">
          <w:rPr>
            <w:rStyle w:val="Hyperlink"/>
            <w:rFonts w:ascii="Times New Roman" w:hAnsi="Times New Roman" w:cs="Times New Roman"/>
            <w:color w:val="2E2E2E"/>
            <w:sz w:val="32"/>
            <w:szCs w:val="32"/>
          </w:rPr>
          <w:t>Lactic Acid Bacteria</w:t>
        </w:r>
      </w:hyperlink>
      <w:r w:rsidRPr="00CF55A2">
        <w:rPr>
          <w:rFonts w:ascii="Times New Roman" w:hAnsi="Times New Roman" w:cs="Times New Roman"/>
          <w:color w:val="2E2E2E"/>
          <w:sz w:val="32"/>
          <w:szCs w:val="32"/>
        </w:rPr>
        <w:t> (LAB) counts, </w:t>
      </w:r>
      <w:proofErr w:type="spellStart"/>
      <w:r w:rsidRPr="00CF55A2">
        <w:rPr>
          <w:rStyle w:val="Emphasis"/>
          <w:rFonts w:ascii="Times New Roman" w:hAnsi="Times New Roman" w:cs="Times New Roman"/>
          <w:color w:val="2E2E2E"/>
          <w:sz w:val="32"/>
          <w:szCs w:val="32"/>
        </w:rPr>
        <w:fldChar w:fldCharType="begin"/>
      </w:r>
      <w:r w:rsidRPr="00CF55A2">
        <w:rPr>
          <w:rStyle w:val="Emphasis"/>
          <w:rFonts w:ascii="Times New Roman" w:hAnsi="Times New Roman" w:cs="Times New Roman"/>
          <w:color w:val="2E2E2E"/>
          <w:sz w:val="32"/>
          <w:szCs w:val="32"/>
        </w:rPr>
        <w:instrText xml:space="preserve"> HYPERLINK "https://www.sciencedirect.com/topics/immunology-and-microbiology/enterobacteriaceae" \o "Learn more about Enterobacteriaceae from ScienceDirect's AI-generated Topic Pages" </w:instrText>
      </w:r>
      <w:r w:rsidRPr="00CF55A2">
        <w:rPr>
          <w:rStyle w:val="Emphasis"/>
          <w:rFonts w:ascii="Times New Roman" w:hAnsi="Times New Roman" w:cs="Times New Roman"/>
          <w:color w:val="2E2E2E"/>
          <w:sz w:val="32"/>
          <w:szCs w:val="32"/>
        </w:rPr>
        <w:fldChar w:fldCharType="separate"/>
      </w:r>
      <w:r w:rsidRPr="00CF55A2">
        <w:rPr>
          <w:rStyle w:val="Hyperlink"/>
          <w:rFonts w:ascii="Times New Roman" w:hAnsi="Times New Roman" w:cs="Times New Roman"/>
          <w:i/>
          <w:iCs/>
          <w:color w:val="2E2E2E"/>
          <w:sz w:val="32"/>
          <w:szCs w:val="32"/>
        </w:rPr>
        <w:t>Enterobacteriaceae</w:t>
      </w:r>
      <w:proofErr w:type="spellEnd"/>
      <w:r w:rsidRPr="00CF55A2">
        <w:rPr>
          <w:rStyle w:val="Emphasis"/>
          <w:rFonts w:ascii="Times New Roman" w:hAnsi="Times New Roman" w:cs="Times New Roman"/>
          <w:color w:val="2E2E2E"/>
          <w:sz w:val="32"/>
          <w:szCs w:val="32"/>
        </w:rPr>
        <w:fldChar w:fldCharType="end"/>
      </w:r>
      <w:r w:rsidRPr="00CF55A2">
        <w:rPr>
          <w:rFonts w:ascii="Times New Roman" w:hAnsi="Times New Roman" w:cs="Times New Roman"/>
          <w:color w:val="2E2E2E"/>
          <w:sz w:val="32"/>
          <w:szCs w:val="32"/>
        </w:rPr>
        <w:t> counts, </w:t>
      </w:r>
      <w:hyperlink r:id="rId9" w:tooltip="Learn more about Pseudomonas from ScienceDirect's AI-generated Topic Pages" w:history="1">
        <w:r w:rsidRPr="00CF55A2">
          <w:rPr>
            <w:rStyle w:val="Hyperlink"/>
            <w:rFonts w:ascii="Times New Roman" w:hAnsi="Times New Roman" w:cs="Times New Roman"/>
            <w:i/>
            <w:iCs/>
            <w:color w:val="2E2E2E"/>
            <w:sz w:val="32"/>
            <w:szCs w:val="32"/>
          </w:rPr>
          <w:t>Pseudomonas</w:t>
        </w:r>
      </w:hyperlink>
      <w:r w:rsidRPr="00CF55A2">
        <w:rPr>
          <w:rFonts w:ascii="Times New Roman" w:hAnsi="Times New Roman" w:cs="Times New Roman"/>
          <w:color w:val="2E2E2E"/>
          <w:sz w:val="32"/>
          <w:szCs w:val="32"/>
        </w:rPr>
        <w:t> spp. counts and 2-thiobarbituric acid reactive substances (TBARS) were determined at a gap of 3 days interval for a period of 15 days. The </w:t>
      </w:r>
      <w:hyperlink r:id="rId10" w:tooltip="Learn more about Bacteria counts from ScienceDirect's AI-generated Topic Pages" w:history="1">
        <w:r w:rsidRPr="00CF55A2">
          <w:rPr>
            <w:rStyle w:val="Hyperlink"/>
            <w:rFonts w:ascii="Times New Roman" w:hAnsi="Times New Roman" w:cs="Times New Roman"/>
            <w:color w:val="2E2E2E"/>
            <w:sz w:val="32"/>
            <w:szCs w:val="32"/>
          </w:rPr>
          <w:t>bacterial counts</w:t>
        </w:r>
      </w:hyperlink>
      <w:r w:rsidRPr="00CF55A2">
        <w:rPr>
          <w:rFonts w:ascii="Times New Roman" w:hAnsi="Times New Roman" w:cs="Times New Roman"/>
          <w:color w:val="2E2E2E"/>
          <w:sz w:val="32"/>
          <w:szCs w:val="32"/>
        </w:rPr>
        <w:t> of T-W-SA + T-W-CC + T-W-OV samples were lower than control samples during storage. T-W-SA + T-W-CC + T-W-OV samples maintained significantly (P &lt; 0.05) higher L*, a* and b* values while storing. The TBARS values of T-W-SA + T-W-CC + T-W-OV samples were lowest among the samples. These results show that spice extracts are very effective against </w:t>
      </w:r>
      <w:hyperlink r:id="rId11" w:tooltip="Learn more about microbial growth from ScienceDirect's AI-generated Topic Pages" w:history="1">
        <w:r w:rsidRPr="00CF55A2">
          <w:rPr>
            <w:rStyle w:val="Hyperlink"/>
            <w:rFonts w:ascii="Times New Roman" w:hAnsi="Times New Roman" w:cs="Times New Roman"/>
            <w:color w:val="2E2E2E"/>
            <w:sz w:val="32"/>
            <w:szCs w:val="32"/>
          </w:rPr>
          <w:t>microbial growth</w:t>
        </w:r>
      </w:hyperlink>
      <w:r w:rsidRPr="00CF55A2">
        <w:rPr>
          <w:rFonts w:ascii="Times New Roman" w:hAnsi="Times New Roman" w:cs="Times New Roman"/>
          <w:color w:val="2E2E2E"/>
          <w:sz w:val="32"/>
          <w:szCs w:val="32"/>
        </w:rPr>
        <w:t>, </w:t>
      </w:r>
      <w:hyperlink r:id="rId12" w:tooltip="Learn more about lipid oxidation from ScienceDirect's AI-generated Topic Pages" w:history="1">
        <w:r w:rsidRPr="00CF55A2">
          <w:rPr>
            <w:rStyle w:val="Hyperlink"/>
            <w:rFonts w:ascii="Times New Roman" w:hAnsi="Times New Roman" w:cs="Times New Roman"/>
            <w:color w:val="2E2E2E"/>
            <w:sz w:val="32"/>
            <w:szCs w:val="32"/>
          </w:rPr>
          <w:t>lipid oxidation</w:t>
        </w:r>
      </w:hyperlink>
      <w:r w:rsidRPr="00CF55A2">
        <w:rPr>
          <w:rFonts w:ascii="Times New Roman" w:hAnsi="Times New Roman" w:cs="Times New Roman"/>
          <w:color w:val="2E2E2E"/>
          <w:sz w:val="32"/>
          <w:szCs w:val="32"/>
        </w:rPr>
        <w:t> and has potential as a natural antioxidant in raw chicken meats.</w:t>
      </w:r>
    </w:p>
    <w:sectPr w:rsidR="00011432" w:rsidRPr="00CF55A2" w:rsidSect="00CF55A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CB"/>
    <w:rsid w:val="0011777C"/>
    <w:rsid w:val="002E4E98"/>
    <w:rsid w:val="003B5CCB"/>
    <w:rsid w:val="007B3221"/>
    <w:rsid w:val="009E3169"/>
    <w:rsid w:val="00CF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6113A-7ECE-4A49-81F3-50F9B280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31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169"/>
    <w:rPr>
      <w:rFonts w:ascii="Times New Roman" w:eastAsia="Times New Roman" w:hAnsi="Times New Roman" w:cs="Times New Roman"/>
      <w:b/>
      <w:bCs/>
      <w:kern w:val="36"/>
      <w:sz w:val="48"/>
      <w:szCs w:val="48"/>
    </w:rPr>
  </w:style>
  <w:style w:type="character" w:customStyle="1" w:styleId="title-text">
    <w:name w:val="title-text"/>
    <w:basedOn w:val="DefaultParagraphFont"/>
    <w:rsid w:val="009E3169"/>
  </w:style>
  <w:style w:type="character" w:styleId="Hyperlink">
    <w:name w:val="Hyperlink"/>
    <w:basedOn w:val="DefaultParagraphFont"/>
    <w:uiPriority w:val="99"/>
    <w:semiHidden/>
    <w:unhideWhenUsed/>
    <w:rsid w:val="009E3169"/>
    <w:rPr>
      <w:color w:val="0000FF"/>
      <w:u w:val="single"/>
    </w:rPr>
  </w:style>
  <w:style w:type="character" w:styleId="Emphasis">
    <w:name w:val="Emphasis"/>
    <w:basedOn w:val="DefaultParagraphFont"/>
    <w:uiPriority w:val="20"/>
    <w:qFormat/>
    <w:rsid w:val="009E31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7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immunology-and-microbiology/lactic-acid-bacteriu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cedirect.com/topics/immunology-and-microbiology/total-viable-count" TargetMode="External"/><Relationship Id="rId12" Type="http://schemas.openxmlformats.org/officeDocument/2006/relationships/hyperlink" Target="https://www.sciencedirect.com/topics/immunology-and-microbiology/lipid-oxid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food-science/flavonoid" TargetMode="External"/><Relationship Id="rId11" Type="http://schemas.openxmlformats.org/officeDocument/2006/relationships/hyperlink" Target="https://www.sciencedirect.com/topics/immunology-and-microbiology/microbial-growth" TargetMode="External"/><Relationship Id="rId5" Type="http://schemas.openxmlformats.org/officeDocument/2006/relationships/hyperlink" Target="https://www.sciencedirect.com/topics/immunology-and-microbiology/brassica" TargetMode="External"/><Relationship Id="rId10" Type="http://schemas.openxmlformats.org/officeDocument/2006/relationships/hyperlink" Target="https://www.sciencedirect.com/topics/immunology-and-microbiology/bacterial-count" TargetMode="External"/><Relationship Id="rId4" Type="http://schemas.openxmlformats.org/officeDocument/2006/relationships/hyperlink" Target="https://www.sciencedirect.com/topics/food-science/raw-chicken-meat" TargetMode="External"/><Relationship Id="rId9" Type="http://schemas.openxmlformats.org/officeDocument/2006/relationships/hyperlink" Target="https://www.sciencedirect.com/topics/immunology-and-microbiology/pseudomon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2023-06-09T06:51:00Z</dcterms:created>
  <dcterms:modified xsi:type="dcterms:W3CDTF">2023-06-09T06:51:00Z</dcterms:modified>
</cp:coreProperties>
</file>