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4FD" w:rsidRPr="00CD64FD" w:rsidRDefault="00CD64FD" w:rsidP="00CD64FD">
      <w:pPr>
        <w:spacing w:line="360" w:lineRule="auto"/>
        <w:jc w:val="center"/>
        <w:rPr>
          <w:rFonts w:ascii="Times New Roman" w:hAnsi="Times New Roman" w:cs="Times New Roman"/>
          <w:b/>
          <w:color w:val="1C1D1E"/>
          <w:sz w:val="32"/>
          <w:szCs w:val="32"/>
          <w:u w:val="single"/>
          <w:shd w:val="clear" w:color="auto" w:fill="FFFFFF"/>
        </w:rPr>
      </w:pPr>
      <w:r w:rsidRPr="00CD64FD">
        <w:rPr>
          <w:rFonts w:ascii="Times New Roman" w:hAnsi="Times New Roman" w:cs="Times New Roman"/>
          <w:b/>
          <w:color w:val="1C1D1E"/>
          <w:sz w:val="32"/>
          <w:szCs w:val="32"/>
          <w:u w:val="single"/>
          <w:shd w:val="clear" w:color="auto" w:fill="FFFFFF"/>
        </w:rPr>
        <w:t>ABSTRACT</w:t>
      </w:r>
      <w:bookmarkStart w:id="0" w:name="_GoBack"/>
      <w:bookmarkEnd w:id="0"/>
    </w:p>
    <w:p w:rsidR="00011432" w:rsidRPr="00CD64FD" w:rsidRDefault="00CD64FD" w:rsidP="00CD64F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 xml:space="preserve">The development of </w:t>
      </w:r>
      <w:proofErr w:type="spellStart"/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>graphene</w:t>
      </w:r>
      <w:proofErr w:type="spellEnd"/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 xml:space="preserve">-based material for multifunctional properties is vital in environmental applications. Herein, the dual functional properties of magnetite decorated reduced </w:t>
      </w:r>
      <w:proofErr w:type="spellStart"/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>graphene</w:t>
      </w:r>
      <w:proofErr w:type="spellEnd"/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 xml:space="preserve"> oxide (</w:t>
      </w:r>
      <w:proofErr w:type="spellStart"/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>rGO</w:t>
      </w:r>
      <w:proofErr w:type="spellEnd"/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>/Fe</w:t>
      </w:r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  <w:vertAlign w:val="subscript"/>
        </w:rPr>
        <w:t>3</w:t>
      </w:r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>O</w:t>
      </w:r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  <w:vertAlign w:val="subscript"/>
        </w:rPr>
        <w:t>4</w:t>
      </w:r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 xml:space="preserve">) </w:t>
      </w:r>
      <w:proofErr w:type="spellStart"/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>nanocomposite</w:t>
      </w:r>
      <w:proofErr w:type="spellEnd"/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 xml:space="preserve"> are explored, and its mechanism is systematically investigated. The </w:t>
      </w:r>
      <w:proofErr w:type="spellStart"/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>rGO</w:t>
      </w:r>
      <w:proofErr w:type="spellEnd"/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>/Fe</w:t>
      </w:r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  <w:vertAlign w:val="subscript"/>
        </w:rPr>
        <w:t>3</w:t>
      </w:r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>O</w:t>
      </w:r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  <w:vertAlign w:val="subscript"/>
        </w:rPr>
        <w:t>4</w:t>
      </w:r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 xml:space="preserve"> prepared by the </w:t>
      </w:r>
      <w:proofErr w:type="spellStart"/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>solvothermal</w:t>
      </w:r>
      <w:proofErr w:type="spellEnd"/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 xml:space="preserve"> method is subjected to transmission electron microscopy and X-ray diffraction which confirms the successful formation of the </w:t>
      </w:r>
      <w:proofErr w:type="spellStart"/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>nanocomposite</w:t>
      </w:r>
      <w:proofErr w:type="spellEnd"/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>. The superior performance of the antibacterial activity towards </w:t>
      </w:r>
      <w:r w:rsidRPr="00CD64FD">
        <w:rPr>
          <w:rFonts w:ascii="Times New Roman" w:hAnsi="Times New Roman" w:cs="Times New Roman"/>
          <w:i/>
          <w:iCs/>
          <w:color w:val="1C1D1E"/>
          <w:sz w:val="32"/>
          <w:szCs w:val="32"/>
          <w:shd w:val="clear" w:color="auto" w:fill="FFFFFF"/>
        </w:rPr>
        <w:t>Escherichia coli</w:t>
      </w:r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 xml:space="preserve"> and removal of </w:t>
      </w:r>
      <w:proofErr w:type="spellStart"/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>Pb</w:t>
      </w:r>
      <w:proofErr w:type="spellEnd"/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 xml:space="preserve"> (II) toxic substances by </w:t>
      </w:r>
      <w:proofErr w:type="spellStart"/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>rGO</w:t>
      </w:r>
      <w:proofErr w:type="spellEnd"/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>/Fe</w:t>
      </w:r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  <w:vertAlign w:val="subscript"/>
        </w:rPr>
        <w:t>3</w:t>
      </w:r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>O</w:t>
      </w:r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  <w:vertAlign w:val="subscript"/>
        </w:rPr>
        <w:t>4</w:t>
      </w:r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 xml:space="preserve"> aqueous suspension are explained. The incubation of bacterial cells with </w:t>
      </w:r>
      <w:proofErr w:type="spellStart"/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>rGO</w:t>
      </w:r>
      <w:proofErr w:type="spellEnd"/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>/Fe</w:t>
      </w:r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  <w:vertAlign w:val="subscript"/>
        </w:rPr>
        <w:t>3</w:t>
      </w:r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>O</w:t>
      </w:r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  <w:vertAlign w:val="subscript"/>
        </w:rPr>
        <w:t>4</w:t>
      </w:r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> </w:t>
      </w:r>
      <w:proofErr w:type="spellStart"/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>nanocomposite</w:t>
      </w:r>
      <w:proofErr w:type="spellEnd"/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 xml:space="preserve"> shows maximum cell </w:t>
      </w:r>
      <w:proofErr w:type="spellStart"/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>lysis</w:t>
      </w:r>
      <w:proofErr w:type="spellEnd"/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 xml:space="preserve"> with minimum dosage and incubation time. The investigation of independent in vitro biological assay results reveals that bactericidal action of </w:t>
      </w:r>
      <w:proofErr w:type="spellStart"/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>rGO</w:t>
      </w:r>
      <w:proofErr w:type="spellEnd"/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>/Fe</w:t>
      </w:r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  <w:vertAlign w:val="subscript"/>
        </w:rPr>
        <w:t>3</w:t>
      </w:r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>O</w:t>
      </w:r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  <w:vertAlign w:val="subscript"/>
        </w:rPr>
        <w:t>4</w:t>
      </w:r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 xml:space="preserve"> composite is mainly caused by reactive oxygen species (ROS) dependent oxidative stress. Furthermore, the adsorption capacity of organic metal ion </w:t>
      </w:r>
      <w:proofErr w:type="spellStart"/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>Pb</w:t>
      </w:r>
      <w:proofErr w:type="spellEnd"/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 xml:space="preserve"> (II) is evaluated, and the adsorption isotherms are fitted with the </w:t>
      </w:r>
      <w:proofErr w:type="spellStart"/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>Freundlich</w:t>
      </w:r>
      <w:proofErr w:type="spellEnd"/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 xml:space="preserve"> model with a maximum adsorption capacity of 76.3 mg g</w:t>
      </w:r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  <w:vertAlign w:val="superscript"/>
        </w:rPr>
        <w:t>−1</w:t>
      </w:r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 xml:space="preserve">. The results obtained in this study demonstrates that the multifunctional properties such as superior killing of gram-negative pathogenic species followed by effective removal of </w:t>
      </w:r>
      <w:proofErr w:type="spellStart"/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>Pb</w:t>
      </w:r>
      <w:proofErr w:type="spellEnd"/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 xml:space="preserve"> (II) make the </w:t>
      </w:r>
      <w:proofErr w:type="spellStart"/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>nanocomposite</w:t>
      </w:r>
      <w:proofErr w:type="spellEnd"/>
      <w:r w:rsidRPr="00CD64FD">
        <w:rPr>
          <w:rFonts w:ascii="Times New Roman" w:hAnsi="Times New Roman" w:cs="Times New Roman"/>
          <w:color w:val="1C1D1E"/>
          <w:sz w:val="32"/>
          <w:szCs w:val="32"/>
          <w:shd w:val="clear" w:color="auto" w:fill="FFFFFF"/>
        </w:rPr>
        <w:t xml:space="preserve"> an ideal biological and chemical disinfectant agent for future wastewater management.</w:t>
      </w:r>
    </w:p>
    <w:sectPr w:rsidR="00011432" w:rsidRPr="00CD64FD" w:rsidSect="00CD64F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38"/>
    <w:rsid w:val="0011777C"/>
    <w:rsid w:val="002E4E98"/>
    <w:rsid w:val="00CD64FD"/>
    <w:rsid w:val="00CE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63CE0-EA98-4C1C-A163-382FE4B5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6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2023-06-19T07:53:00Z</dcterms:created>
  <dcterms:modified xsi:type="dcterms:W3CDTF">2023-06-19T07:53:00Z</dcterms:modified>
</cp:coreProperties>
</file>