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5A8" w:rsidRPr="005F550D" w:rsidRDefault="005F550D" w:rsidP="005F550D">
      <w:pPr>
        <w:spacing w:line="360" w:lineRule="auto"/>
        <w:jc w:val="center"/>
        <w:rPr>
          <w:rFonts w:ascii="Times New Roman" w:hAnsi="Times New Roman" w:cs="Times New Roman"/>
          <w:b/>
          <w:color w:val="333333"/>
          <w:sz w:val="32"/>
          <w:szCs w:val="32"/>
          <w:u w:val="single"/>
        </w:rPr>
      </w:pPr>
      <w:r w:rsidRPr="005F550D">
        <w:rPr>
          <w:rFonts w:ascii="Times New Roman" w:hAnsi="Times New Roman" w:cs="Times New Roman"/>
          <w:b/>
          <w:color w:val="333333"/>
          <w:sz w:val="32"/>
          <w:szCs w:val="32"/>
          <w:u w:val="single"/>
        </w:rPr>
        <w:t>ABSTRACT</w:t>
      </w:r>
      <w:bookmarkStart w:id="0" w:name="_GoBack"/>
      <w:bookmarkEnd w:id="0"/>
    </w:p>
    <w:p w:rsidR="00011432" w:rsidRPr="001205A8" w:rsidRDefault="001205A8" w:rsidP="001205A8">
      <w:pPr>
        <w:spacing w:line="360" w:lineRule="auto"/>
        <w:jc w:val="both"/>
        <w:rPr>
          <w:rFonts w:ascii="Times New Roman" w:hAnsi="Times New Roman" w:cs="Times New Roman"/>
          <w:sz w:val="32"/>
          <w:szCs w:val="32"/>
        </w:rPr>
      </w:pPr>
      <w:r w:rsidRPr="001205A8">
        <w:rPr>
          <w:rFonts w:ascii="Times New Roman" w:hAnsi="Times New Roman" w:cs="Times New Roman"/>
          <w:color w:val="333333"/>
          <w:sz w:val="32"/>
          <w:szCs w:val="32"/>
        </w:rPr>
        <w:t xml:space="preserve">The transport properties of oxygen in three amino-functionalized cubic polyhedral </w:t>
      </w:r>
      <w:proofErr w:type="spellStart"/>
      <w:r w:rsidRPr="001205A8">
        <w:rPr>
          <w:rFonts w:ascii="Times New Roman" w:hAnsi="Times New Roman" w:cs="Times New Roman"/>
          <w:color w:val="333333"/>
          <w:sz w:val="32"/>
          <w:szCs w:val="32"/>
        </w:rPr>
        <w:t>oligomeric</w:t>
      </w:r>
      <w:proofErr w:type="spellEnd"/>
      <w:r w:rsidRPr="001205A8">
        <w:rPr>
          <w:rFonts w:ascii="Times New Roman" w:hAnsi="Times New Roman" w:cs="Times New Roman"/>
          <w:color w:val="333333"/>
          <w:sz w:val="32"/>
          <w:szCs w:val="32"/>
        </w:rPr>
        <w:t xml:space="preserve"> </w:t>
      </w:r>
      <w:proofErr w:type="spellStart"/>
      <w:r w:rsidRPr="001205A8">
        <w:rPr>
          <w:rFonts w:ascii="Times New Roman" w:hAnsi="Times New Roman" w:cs="Times New Roman"/>
          <w:color w:val="333333"/>
          <w:sz w:val="32"/>
          <w:szCs w:val="32"/>
        </w:rPr>
        <w:t>silsesquioxanes</w:t>
      </w:r>
      <w:proofErr w:type="spellEnd"/>
      <w:r w:rsidRPr="001205A8">
        <w:rPr>
          <w:rFonts w:ascii="Times New Roman" w:hAnsi="Times New Roman" w:cs="Times New Roman"/>
          <w:color w:val="333333"/>
          <w:sz w:val="32"/>
          <w:szCs w:val="32"/>
        </w:rPr>
        <w:t xml:space="preserve"> (POSS) have been studied using classical molecular dynamics (MD) simulations over a timescale long enough to reach the </w:t>
      </w:r>
      <w:proofErr w:type="spellStart"/>
      <w:r w:rsidRPr="001205A8">
        <w:rPr>
          <w:rFonts w:ascii="Times New Roman" w:hAnsi="Times New Roman" w:cs="Times New Roman"/>
          <w:color w:val="333333"/>
          <w:sz w:val="32"/>
          <w:szCs w:val="32"/>
        </w:rPr>
        <w:t>Fickian</w:t>
      </w:r>
      <w:proofErr w:type="spellEnd"/>
      <w:r w:rsidRPr="001205A8">
        <w:rPr>
          <w:rFonts w:ascii="Times New Roman" w:hAnsi="Times New Roman" w:cs="Times New Roman"/>
          <w:color w:val="333333"/>
          <w:sz w:val="32"/>
          <w:szCs w:val="32"/>
        </w:rPr>
        <w:t xml:space="preserve"> regime for diffusion. An amount of O</w:t>
      </w:r>
      <w:r w:rsidRPr="001205A8">
        <w:rPr>
          <w:rFonts w:ascii="Times New Roman" w:hAnsi="Times New Roman" w:cs="Times New Roman"/>
          <w:color w:val="333333"/>
          <w:sz w:val="32"/>
          <w:szCs w:val="32"/>
          <w:vertAlign w:val="subscript"/>
        </w:rPr>
        <w:t>2</w:t>
      </w:r>
      <w:r w:rsidRPr="001205A8">
        <w:rPr>
          <w:rFonts w:ascii="Times New Roman" w:hAnsi="Times New Roman" w:cs="Times New Roman"/>
          <w:color w:val="333333"/>
          <w:sz w:val="32"/>
          <w:szCs w:val="32"/>
        </w:rPr>
        <w:t> corresponding to an applied pressure of 3 bars was inserted into molecular models of hybrid organic/inorganic POSS with the chemical composition (RSiO</w:t>
      </w:r>
      <w:r w:rsidRPr="001205A8">
        <w:rPr>
          <w:rFonts w:ascii="Times New Roman" w:hAnsi="Times New Roman" w:cs="Times New Roman"/>
          <w:color w:val="333333"/>
          <w:sz w:val="32"/>
          <w:szCs w:val="32"/>
          <w:vertAlign w:val="subscript"/>
        </w:rPr>
        <w:t>3/2</w:t>
      </w:r>
      <w:r w:rsidRPr="001205A8">
        <w:rPr>
          <w:rFonts w:ascii="Times New Roman" w:hAnsi="Times New Roman" w:cs="Times New Roman"/>
          <w:color w:val="333333"/>
          <w:sz w:val="32"/>
          <w:szCs w:val="32"/>
        </w:rPr>
        <w:t>)</w:t>
      </w:r>
      <w:r w:rsidRPr="001205A8">
        <w:rPr>
          <w:rFonts w:ascii="Times New Roman" w:hAnsi="Times New Roman" w:cs="Times New Roman"/>
          <w:color w:val="333333"/>
          <w:sz w:val="32"/>
          <w:szCs w:val="32"/>
          <w:vertAlign w:val="subscript"/>
        </w:rPr>
        <w:t>8</w:t>
      </w:r>
      <w:r w:rsidRPr="001205A8">
        <w:rPr>
          <w:rFonts w:ascii="Times New Roman" w:hAnsi="Times New Roman" w:cs="Times New Roman"/>
          <w:color w:val="333333"/>
          <w:sz w:val="32"/>
          <w:szCs w:val="32"/>
        </w:rPr>
        <w:t>, which differed by the end-groups of their organic pendant chains, that is, R = </w:t>
      </w:r>
      <w:proofErr w:type="gramStart"/>
      <w:r w:rsidRPr="001205A8">
        <w:rPr>
          <w:rFonts w:ascii="Times New Roman" w:hAnsi="Times New Roman" w:cs="Times New Roman"/>
          <w:color w:val="333333"/>
          <w:sz w:val="32"/>
          <w:szCs w:val="32"/>
        </w:rPr>
        <w:t>−(</w:t>
      </w:r>
      <w:proofErr w:type="gramEnd"/>
      <w:r w:rsidRPr="001205A8">
        <w:rPr>
          <w:rFonts w:ascii="Times New Roman" w:hAnsi="Times New Roman" w:cs="Times New Roman"/>
          <w:color w:val="333333"/>
          <w:sz w:val="32"/>
          <w:szCs w:val="32"/>
        </w:rPr>
        <w:t>CH</w:t>
      </w:r>
      <w:r w:rsidRPr="001205A8">
        <w:rPr>
          <w:rFonts w:ascii="Times New Roman" w:hAnsi="Times New Roman" w:cs="Times New Roman"/>
          <w:color w:val="333333"/>
          <w:sz w:val="32"/>
          <w:szCs w:val="32"/>
          <w:vertAlign w:val="subscript"/>
        </w:rPr>
        <w:t>2</w:t>
      </w:r>
      <w:r w:rsidRPr="001205A8">
        <w:rPr>
          <w:rFonts w:ascii="Times New Roman" w:hAnsi="Times New Roman" w:cs="Times New Roman"/>
          <w:color w:val="333333"/>
          <w:sz w:val="32"/>
          <w:szCs w:val="32"/>
        </w:rPr>
        <w:t>)</w:t>
      </w:r>
      <w:r w:rsidRPr="001205A8">
        <w:rPr>
          <w:rFonts w:ascii="Times New Roman" w:hAnsi="Times New Roman" w:cs="Times New Roman"/>
          <w:color w:val="333333"/>
          <w:sz w:val="32"/>
          <w:szCs w:val="32"/>
          <w:vertAlign w:val="subscript"/>
        </w:rPr>
        <w:t>3</w:t>
      </w:r>
      <w:r w:rsidRPr="001205A8">
        <w:rPr>
          <w:rFonts w:ascii="Times New Roman" w:hAnsi="Times New Roman" w:cs="Times New Roman"/>
          <w:color w:val="333333"/>
          <w:sz w:val="32"/>
          <w:szCs w:val="32"/>
        </w:rPr>
        <w:t>−NH−CO−X with X = −C</w:t>
      </w:r>
      <w:r w:rsidRPr="001205A8">
        <w:rPr>
          <w:rFonts w:ascii="Times New Roman" w:hAnsi="Times New Roman" w:cs="Times New Roman"/>
          <w:color w:val="333333"/>
          <w:sz w:val="32"/>
          <w:szCs w:val="32"/>
          <w:vertAlign w:val="subscript"/>
        </w:rPr>
        <w:t>6</w:t>
      </w:r>
      <w:r w:rsidRPr="001205A8">
        <w:rPr>
          <w:rFonts w:ascii="Times New Roman" w:hAnsi="Times New Roman" w:cs="Times New Roman"/>
          <w:color w:val="333333"/>
          <w:sz w:val="32"/>
          <w:szCs w:val="32"/>
        </w:rPr>
        <w:t>H</w:t>
      </w:r>
      <w:r w:rsidRPr="001205A8">
        <w:rPr>
          <w:rFonts w:ascii="Times New Roman" w:hAnsi="Times New Roman" w:cs="Times New Roman"/>
          <w:color w:val="333333"/>
          <w:sz w:val="32"/>
          <w:szCs w:val="32"/>
          <w:vertAlign w:val="subscript"/>
        </w:rPr>
        <w:t>4</w:t>
      </w:r>
      <w:r w:rsidRPr="001205A8">
        <w:rPr>
          <w:rFonts w:ascii="Times New Roman" w:hAnsi="Times New Roman" w:cs="Times New Roman"/>
          <w:color w:val="333333"/>
          <w:sz w:val="32"/>
          <w:szCs w:val="32"/>
        </w:rPr>
        <w:t>OH, −C</w:t>
      </w:r>
      <w:r w:rsidRPr="001205A8">
        <w:rPr>
          <w:rFonts w:ascii="Times New Roman" w:hAnsi="Times New Roman" w:cs="Times New Roman"/>
          <w:color w:val="333333"/>
          <w:sz w:val="32"/>
          <w:szCs w:val="32"/>
          <w:vertAlign w:val="subscript"/>
        </w:rPr>
        <w:t>6</w:t>
      </w:r>
      <w:r w:rsidRPr="001205A8">
        <w:rPr>
          <w:rFonts w:ascii="Times New Roman" w:hAnsi="Times New Roman" w:cs="Times New Roman"/>
          <w:color w:val="333333"/>
          <w:sz w:val="32"/>
          <w:szCs w:val="32"/>
        </w:rPr>
        <w:t>H</w:t>
      </w:r>
      <w:r w:rsidRPr="001205A8">
        <w:rPr>
          <w:rFonts w:ascii="Times New Roman" w:hAnsi="Times New Roman" w:cs="Times New Roman"/>
          <w:color w:val="333333"/>
          <w:sz w:val="32"/>
          <w:szCs w:val="32"/>
          <w:vertAlign w:val="subscript"/>
        </w:rPr>
        <w:t>5</w:t>
      </w:r>
      <w:r w:rsidRPr="001205A8">
        <w:rPr>
          <w:rFonts w:ascii="Times New Roman" w:hAnsi="Times New Roman" w:cs="Times New Roman"/>
          <w:color w:val="333333"/>
          <w:sz w:val="32"/>
          <w:szCs w:val="32"/>
        </w:rPr>
        <w:t> or −C</w:t>
      </w:r>
      <w:r w:rsidRPr="001205A8">
        <w:rPr>
          <w:rFonts w:ascii="Times New Roman" w:hAnsi="Times New Roman" w:cs="Times New Roman"/>
          <w:color w:val="333333"/>
          <w:sz w:val="32"/>
          <w:szCs w:val="32"/>
          <w:vertAlign w:val="subscript"/>
        </w:rPr>
        <w:t>6</w:t>
      </w:r>
      <w:r w:rsidRPr="001205A8">
        <w:rPr>
          <w:rFonts w:ascii="Times New Roman" w:hAnsi="Times New Roman" w:cs="Times New Roman"/>
          <w:color w:val="333333"/>
          <w:sz w:val="32"/>
          <w:szCs w:val="32"/>
        </w:rPr>
        <w:t>H</w:t>
      </w:r>
      <w:r w:rsidRPr="001205A8">
        <w:rPr>
          <w:rFonts w:ascii="Times New Roman" w:hAnsi="Times New Roman" w:cs="Times New Roman"/>
          <w:color w:val="333333"/>
          <w:sz w:val="32"/>
          <w:szCs w:val="32"/>
          <w:vertAlign w:val="subscript"/>
        </w:rPr>
        <w:t>11</w:t>
      </w:r>
      <w:r w:rsidRPr="001205A8">
        <w:rPr>
          <w:rFonts w:ascii="Times New Roman" w:hAnsi="Times New Roman" w:cs="Times New Roman"/>
          <w:color w:val="333333"/>
          <w:sz w:val="32"/>
          <w:szCs w:val="32"/>
        </w:rPr>
        <w:t>. The oxygen </w:t>
      </w:r>
      <w:r w:rsidRPr="001205A8">
        <w:rPr>
          <w:rFonts w:ascii="Times New Roman" w:hAnsi="Times New Roman" w:cs="Times New Roman"/>
          <w:color w:val="333333"/>
          <w:sz w:val="32"/>
          <w:szCs w:val="32"/>
          <w:vertAlign w:val="superscript"/>
        </w:rPr>
        <w:t>…</w:t>
      </w:r>
      <w:r w:rsidRPr="001205A8">
        <w:rPr>
          <w:rFonts w:ascii="Times New Roman" w:hAnsi="Times New Roman" w:cs="Times New Roman"/>
          <w:color w:val="333333"/>
          <w:sz w:val="32"/>
          <w:szCs w:val="32"/>
        </w:rPr>
        <w:t> POSS energies were found to be small with respect to the POSS</w:t>
      </w:r>
      <w:r w:rsidRPr="001205A8">
        <w:rPr>
          <w:rFonts w:ascii="Times New Roman" w:hAnsi="Times New Roman" w:cs="Times New Roman"/>
          <w:color w:val="333333"/>
          <w:sz w:val="32"/>
          <w:szCs w:val="32"/>
          <w:vertAlign w:val="superscript"/>
        </w:rPr>
        <w:t>…</w:t>
      </w:r>
      <w:r w:rsidRPr="001205A8">
        <w:rPr>
          <w:rFonts w:ascii="Times New Roman" w:hAnsi="Times New Roman" w:cs="Times New Roman"/>
          <w:color w:val="333333"/>
          <w:sz w:val="32"/>
          <w:szCs w:val="32"/>
        </w:rPr>
        <w:t> POSS interactions. The O</w:t>
      </w:r>
      <w:r w:rsidRPr="001205A8">
        <w:rPr>
          <w:rFonts w:ascii="Times New Roman" w:hAnsi="Times New Roman" w:cs="Times New Roman"/>
          <w:color w:val="333333"/>
          <w:sz w:val="32"/>
          <w:szCs w:val="32"/>
          <w:vertAlign w:val="subscript"/>
        </w:rPr>
        <w:t>2</w:t>
      </w:r>
      <w:r w:rsidRPr="001205A8">
        <w:rPr>
          <w:rFonts w:ascii="Times New Roman" w:hAnsi="Times New Roman" w:cs="Times New Roman"/>
          <w:color w:val="333333"/>
          <w:sz w:val="32"/>
          <w:szCs w:val="32"/>
        </w:rPr>
        <w:t xml:space="preserve"> molecules permeate the organic phase and move through combinations of oscillations within available free volumes in the matrices and occasional jumping events. Gas mobility was more restricted in the system with the salicylic end-group and the largest hydrogen-bond network, whereas it was enhanced in the system with the </w:t>
      </w:r>
      <w:proofErr w:type="spellStart"/>
      <w:r w:rsidRPr="001205A8">
        <w:rPr>
          <w:rFonts w:ascii="Times New Roman" w:hAnsi="Times New Roman" w:cs="Times New Roman"/>
          <w:color w:val="333333"/>
          <w:sz w:val="32"/>
          <w:szCs w:val="32"/>
        </w:rPr>
        <w:t>cyclohexyl</w:t>
      </w:r>
      <w:proofErr w:type="spellEnd"/>
      <w:r w:rsidRPr="001205A8">
        <w:rPr>
          <w:rFonts w:ascii="Times New Roman" w:hAnsi="Times New Roman" w:cs="Times New Roman"/>
          <w:color w:val="333333"/>
          <w:sz w:val="32"/>
          <w:szCs w:val="32"/>
        </w:rPr>
        <w:t xml:space="preserve"> end-group. The most energetically-favorable sites for O</w:t>
      </w:r>
      <w:r w:rsidRPr="001205A8">
        <w:rPr>
          <w:rFonts w:ascii="Times New Roman" w:hAnsi="Times New Roman" w:cs="Times New Roman"/>
          <w:color w:val="333333"/>
          <w:sz w:val="32"/>
          <w:szCs w:val="32"/>
          <w:vertAlign w:val="subscript"/>
        </w:rPr>
        <w:t>2</w:t>
      </w:r>
      <w:r w:rsidRPr="001205A8">
        <w:rPr>
          <w:rFonts w:ascii="Times New Roman" w:hAnsi="Times New Roman" w:cs="Times New Roman"/>
          <w:color w:val="333333"/>
          <w:sz w:val="32"/>
          <w:szCs w:val="32"/>
        </w:rPr>
        <w:t> insertion were either in the vicinity of the silica cages or close to the rings of the chain end-groups. On the other hand, the amide and hydroxyls groups engaging in H-bonds were less energetically favorable. This confirms that H-bonding networks are a hindrance for O</w:t>
      </w:r>
      <w:r w:rsidRPr="001205A8">
        <w:rPr>
          <w:rFonts w:ascii="Times New Roman" w:hAnsi="Times New Roman" w:cs="Times New Roman"/>
          <w:color w:val="333333"/>
          <w:sz w:val="32"/>
          <w:szCs w:val="32"/>
          <w:vertAlign w:val="subscript"/>
        </w:rPr>
        <w:t>2</w:t>
      </w:r>
      <w:r w:rsidRPr="001205A8">
        <w:rPr>
          <w:rFonts w:ascii="Times New Roman" w:hAnsi="Times New Roman" w:cs="Times New Roman"/>
          <w:color w:val="333333"/>
          <w:sz w:val="32"/>
          <w:szCs w:val="32"/>
        </w:rPr>
        <w:t> transport in such systems.</w:t>
      </w:r>
    </w:p>
    <w:sectPr w:rsidR="00011432" w:rsidRPr="001205A8" w:rsidSect="001205A8">
      <w:pgSz w:w="12240" w:h="15840"/>
      <w:pgMar w:top="1440" w:right="1260" w:bottom="1440" w:left="117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D7"/>
    <w:rsid w:val="0011777C"/>
    <w:rsid w:val="001205A8"/>
    <w:rsid w:val="002E4E98"/>
    <w:rsid w:val="005768D7"/>
    <w:rsid w:val="005F550D"/>
    <w:rsid w:val="0060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DF82C-C655-4E3C-96BE-87667AC2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05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2023-06-20T08:08:00Z</dcterms:created>
  <dcterms:modified xsi:type="dcterms:W3CDTF">2023-06-20T08:08:00Z</dcterms:modified>
</cp:coreProperties>
</file>