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4F" w:rsidRPr="00A13C4F" w:rsidRDefault="00A13C4F" w:rsidP="00A13C4F">
      <w:pPr>
        <w:spacing w:line="360" w:lineRule="auto"/>
        <w:jc w:val="center"/>
        <w:rPr>
          <w:rFonts w:ascii="Times New Roman" w:hAnsi="Times New Roman" w:cs="Times New Roman"/>
          <w:b/>
          <w:color w:val="2E2E2E"/>
          <w:sz w:val="30"/>
          <w:szCs w:val="30"/>
          <w:u w:val="single"/>
        </w:rPr>
      </w:pPr>
      <w:r w:rsidRPr="00A13C4F">
        <w:rPr>
          <w:rFonts w:ascii="Times New Roman" w:hAnsi="Times New Roman" w:cs="Times New Roman"/>
          <w:b/>
          <w:color w:val="2E2E2E"/>
          <w:sz w:val="30"/>
          <w:szCs w:val="30"/>
          <w:u w:val="single"/>
        </w:rPr>
        <w:t>ABSTRACT</w:t>
      </w:r>
      <w:bookmarkStart w:id="0" w:name="_GoBack"/>
      <w:bookmarkEnd w:id="0"/>
    </w:p>
    <w:p w:rsidR="00011432" w:rsidRPr="00A13C4F" w:rsidRDefault="00A13C4F" w:rsidP="00A13C4F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3C4F">
        <w:rPr>
          <w:rFonts w:ascii="Times New Roman" w:hAnsi="Times New Roman" w:cs="Times New Roman"/>
          <w:color w:val="2E2E2E"/>
          <w:sz w:val="30"/>
          <w:szCs w:val="30"/>
        </w:rPr>
        <w:t>Precise estimation of Creatinine (CRE) is an indispensable analysis used in the clinical settings for early stage detection of kidney dysfunction. In the present work, we described the non-enzymatic detection of </w:t>
      </w:r>
      <w:hyperlink r:id="rId4" w:tooltip="Learn more about serum CRE from ScienceDirect's AI-generated Topic Pages" w:history="1">
        <w:r w:rsidRPr="00A13C4F">
          <w:rPr>
            <w:rStyle w:val="Hyperlink"/>
            <w:rFonts w:ascii="Times New Roman" w:hAnsi="Times New Roman" w:cs="Times New Roman"/>
            <w:color w:val="2E2E2E"/>
            <w:sz w:val="30"/>
            <w:szCs w:val="30"/>
          </w:rPr>
          <w:t>serum CRE</w:t>
        </w:r>
      </w:hyperlink>
      <w:r w:rsidRPr="00A13C4F">
        <w:rPr>
          <w:rFonts w:ascii="Times New Roman" w:hAnsi="Times New Roman" w:cs="Times New Roman"/>
          <w:color w:val="2E2E2E"/>
          <w:sz w:val="30"/>
          <w:szCs w:val="30"/>
        </w:rPr>
        <w:t> using ellipsoidal nanostructured Fe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2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O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3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 integrated 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polyaniline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 (PANI) 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nanocomposite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 sensor platform. Hydrothermally derived Fe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2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O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3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 was distributed on the PANI matrices to form 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supramolecular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 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nanocomposite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 via simple oxidative polymerization method. The Fe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2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O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3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 coordinated PANI composite showed better complex formation ability towards CRE with improved active surface area and charge transfer efficiency compared to pristine Fe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2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O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3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 and PANI. Further, the scan rate analysis confirmed the quasi-reversible diffusion controlled electrochemical kinetics of the reaction. The </w:t>
      </w:r>
      <w:hyperlink r:id="rId5" w:tooltip="Learn more about differential pulse voltammetry from ScienceDirect's AI-generated Topic Pages" w:history="1">
        <w:r w:rsidRPr="00A13C4F">
          <w:rPr>
            <w:rStyle w:val="Hyperlink"/>
            <w:rFonts w:ascii="Times New Roman" w:hAnsi="Times New Roman" w:cs="Times New Roman"/>
            <w:color w:val="2E2E2E"/>
            <w:sz w:val="30"/>
            <w:szCs w:val="30"/>
          </w:rPr>
          <w:t>differential pulse voltammetry</w:t>
        </w:r>
      </w:hyperlink>
      <w:r w:rsidRPr="00A13C4F">
        <w:rPr>
          <w:rFonts w:ascii="Times New Roman" w:hAnsi="Times New Roman" w:cs="Times New Roman"/>
          <w:color w:val="2E2E2E"/>
          <w:sz w:val="30"/>
          <w:szCs w:val="30"/>
        </w:rPr>
        <w:t> (DPV) outcomes evidenced the higher sensitivity with wide linear detection range (1 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μM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 −13 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mM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>), lower detection limit (144 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nM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>) and enhanced </w:t>
      </w:r>
      <w:hyperlink r:id="rId6" w:tooltip="Learn more about selectivity from ScienceDirect's AI-generated Topic Pages" w:history="1">
        <w:r w:rsidRPr="00A13C4F">
          <w:rPr>
            <w:rStyle w:val="Hyperlink"/>
            <w:rFonts w:ascii="Times New Roman" w:hAnsi="Times New Roman" w:cs="Times New Roman"/>
            <w:color w:val="2E2E2E"/>
            <w:sz w:val="30"/>
            <w:szCs w:val="30"/>
          </w:rPr>
          <w:t>selectivity</w:t>
        </w:r>
      </w:hyperlink>
      <w:r w:rsidRPr="00A13C4F">
        <w:rPr>
          <w:rFonts w:ascii="Times New Roman" w:hAnsi="Times New Roman" w:cs="Times New Roman"/>
          <w:color w:val="2E2E2E"/>
          <w:sz w:val="30"/>
          <w:szCs w:val="30"/>
        </w:rPr>
        <w:t>. The </w:t>
      </w:r>
      <w:hyperlink r:id="rId7" w:tooltip="Learn more about blood serum from ScienceDirect's AI-generated Topic Pages" w:history="1">
        <w:r w:rsidRPr="00A13C4F">
          <w:rPr>
            <w:rStyle w:val="Hyperlink"/>
            <w:rFonts w:ascii="Times New Roman" w:hAnsi="Times New Roman" w:cs="Times New Roman"/>
            <w:color w:val="2E2E2E"/>
            <w:sz w:val="30"/>
            <w:szCs w:val="30"/>
          </w:rPr>
          <w:t>blood serum</w:t>
        </w:r>
      </w:hyperlink>
      <w:r w:rsidRPr="00A13C4F">
        <w:rPr>
          <w:rFonts w:ascii="Times New Roman" w:hAnsi="Times New Roman" w:cs="Times New Roman"/>
          <w:color w:val="2E2E2E"/>
          <w:sz w:val="30"/>
          <w:szCs w:val="30"/>
        </w:rPr>
        <w:t> sample analysis of pre and post dialysis patients ensured that our prepared Fe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2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O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3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/PANI-1 composite exhibited better recovery percentage (91.9%) and Bland-Altman plot showed statistical bias is laid within the 95% confidence interval (CI). The </w:t>
      </w:r>
      <w:hyperlink r:id="rId8" w:tooltip="Learn more about glomerular filtration from ScienceDirect's AI-generated Topic Pages" w:history="1">
        <w:r w:rsidRPr="00A13C4F">
          <w:rPr>
            <w:rStyle w:val="Hyperlink"/>
            <w:rFonts w:ascii="Times New Roman" w:hAnsi="Times New Roman" w:cs="Times New Roman"/>
            <w:color w:val="2E2E2E"/>
            <w:sz w:val="30"/>
            <w:szCs w:val="30"/>
          </w:rPr>
          <w:t>glomerular filtration</w:t>
        </w:r>
      </w:hyperlink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 rate (GFR) index calculated from Modification of Diet in Renal Disease (MDRD) equation from our experimental results and the values have been validated with the commercial 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Jafee’s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 method. The overall analysis confirmed that the prepared Fe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2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>O</w:t>
      </w:r>
      <w:r w:rsidRPr="00A13C4F">
        <w:rPr>
          <w:rFonts w:ascii="Times New Roman" w:hAnsi="Times New Roman" w:cs="Times New Roman"/>
          <w:color w:val="2E2E2E"/>
          <w:sz w:val="30"/>
          <w:szCs w:val="30"/>
          <w:vertAlign w:val="subscript"/>
        </w:rPr>
        <w:t>3</w:t>
      </w:r>
      <w:r w:rsidRPr="00A13C4F">
        <w:rPr>
          <w:rFonts w:ascii="Times New Roman" w:hAnsi="Times New Roman" w:cs="Times New Roman"/>
          <w:color w:val="2E2E2E"/>
          <w:sz w:val="30"/>
          <w:szCs w:val="30"/>
        </w:rPr>
        <w:t xml:space="preserve">/PANI </w:t>
      </w:r>
      <w:proofErr w:type="spellStart"/>
      <w:r w:rsidRPr="00A13C4F">
        <w:rPr>
          <w:rFonts w:ascii="Times New Roman" w:hAnsi="Times New Roman" w:cs="Times New Roman"/>
          <w:color w:val="2E2E2E"/>
          <w:sz w:val="30"/>
          <w:szCs w:val="30"/>
        </w:rPr>
        <w:t>nanocomposite</w:t>
      </w:r>
      <w:proofErr w:type="spellEnd"/>
      <w:r w:rsidRPr="00A13C4F">
        <w:rPr>
          <w:rFonts w:ascii="Times New Roman" w:hAnsi="Times New Roman" w:cs="Times New Roman"/>
          <w:color w:val="2E2E2E"/>
          <w:sz w:val="30"/>
          <w:szCs w:val="30"/>
        </w:rPr>
        <w:t> </w:t>
      </w:r>
      <w:hyperlink r:id="rId9" w:tooltip="Learn more about modified electrode from ScienceDirect's AI-generated Topic Pages" w:history="1">
        <w:r w:rsidRPr="00A13C4F">
          <w:rPr>
            <w:rStyle w:val="Hyperlink"/>
            <w:rFonts w:ascii="Times New Roman" w:hAnsi="Times New Roman" w:cs="Times New Roman"/>
            <w:color w:val="2E2E2E"/>
            <w:sz w:val="30"/>
            <w:szCs w:val="30"/>
          </w:rPr>
          <w:t>modified electrode</w:t>
        </w:r>
      </w:hyperlink>
      <w:r w:rsidRPr="00A13C4F">
        <w:rPr>
          <w:rFonts w:ascii="Times New Roman" w:hAnsi="Times New Roman" w:cs="Times New Roman"/>
          <w:color w:val="2E2E2E"/>
          <w:sz w:val="30"/>
          <w:szCs w:val="30"/>
        </w:rPr>
        <w:t> has improved sensitivity and </w:t>
      </w:r>
      <w:hyperlink r:id="rId10" w:tooltip="Learn more about selectivity from ScienceDirect's AI-generated Topic Pages" w:history="1">
        <w:r w:rsidRPr="00A13C4F">
          <w:rPr>
            <w:rStyle w:val="Hyperlink"/>
            <w:rFonts w:ascii="Times New Roman" w:hAnsi="Times New Roman" w:cs="Times New Roman"/>
            <w:color w:val="2E2E2E"/>
            <w:sz w:val="30"/>
            <w:szCs w:val="30"/>
          </w:rPr>
          <w:t>selectivity</w:t>
        </w:r>
      </w:hyperlink>
      <w:r w:rsidRPr="00A13C4F">
        <w:rPr>
          <w:rFonts w:ascii="Times New Roman" w:hAnsi="Times New Roman" w:cs="Times New Roman"/>
          <w:color w:val="2E2E2E"/>
          <w:sz w:val="30"/>
          <w:szCs w:val="30"/>
        </w:rPr>
        <w:t> towards target molecule without the aid of any bio receptors and binders in real time CRE quantification with better accuracy.</w:t>
      </w:r>
    </w:p>
    <w:sectPr w:rsidR="00011432" w:rsidRPr="00A13C4F" w:rsidSect="00A13C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B1"/>
    <w:rsid w:val="0011777C"/>
    <w:rsid w:val="002E4E98"/>
    <w:rsid w:val="004833B1"/>
    <w:rsid w:val="00845AC0"/>
    <w:rsid w:val="00A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8855-B173-42EA-8F0F-4CAEBD29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3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13C4F"/>
  </w:style>
  <w:style w:type="character" w:styleId="Hyperlink">
    <w:name w:val="Hyperlink"/>
    <w:basedOn w:val="DefaultParagraphFont"/>
    <w:uiPriority w:val="99"/>
    <w:semiHidden/>
    <w:unhideWhenUsed/>
    <w:rsid w:val="00A1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biochemistry-genetics-and-molecular-biology/glomerulus-fil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earth-and-planetary-sciences/blood-ser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chemistry/reaction-selectivi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direct.com/topics/chemistry/differential-pulse-voltammetry" TargetMode="External"/><Relationship Id="rId10" Type="http://schemas.openxmlformats.org/officeDocument/2006/relationships/hyperlink" Target="https://www.sciencedirect.com/topics/chemistry/reaction-selectivity" TargetMode="External"/><Relationship Id="rId4" Type="http://schemas.openxmlformats.org/officeDocument/2006/relationships/hyperlink" Target="https://www.sciencedirect.com/topics/biochemistry-genetics-and-molecular-biology/creatinine-blood-level" TargetMode="External"/><Relationship Id="rId9" Type="http://schemas.openxmlformats.org/officeDocument/2006/relationships/hyperlink" Target="https://www.sciencedirect.com/topics/chemistry/modified-electr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2023-07-13T05:40:00Z</dcterms:created>
  <dcterms:modified xsi:type="dcterms:W3CDTF">2023-07-13T05:40:00Z</dcterms:modified>
</cp:coreProperties>
</file>