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08124A" w:rsidP="0008124A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A4638D">
          <w:rPr>
            <w:rStyle w:val="Hyperlink"/>
            <w:rFonts w:ascii="Times New Roman" w:hAnsi="Times New Roman" w:cs="Times New Roman"/>
            <w:sz w:val="32"/>
            <w:szCs w:val="32"/>
          </w:rPr>
          <w:t>https://acadpubl.eu/jsi/2017-117-18-19/articles/19/38.pdf</w:t>
        </w:r>
      </w:hyperlink>
    </w:p>
    <w:p w:rsidR="0008124A" w:rsidRDefault="0008124A" w:rsidP="0008124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8124A" w:rsidRPr="0008124A" w:rsidRDefault="0008124A" w:rsidP="000812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6115FF3" wp14:editId="435D0700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8124A" w:rsidRPr="0008124A" w:rsidSect="0008124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44"/>
    <w:rsid w:val="0008124A"/>
    <w:rsid w:val="0011777C"/>
    <w:rsid w:val="002E4E98"/>
    <w:rsid w:val="00F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C59CF-92DC-46B9-AC11-895566EE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cadpubl.eu/jsi/2017-117-18-19/articles/19/3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2023-09-04T07:23:00Z</dcterms:created>
  <dcterms:modified xsi:type="dcterms:W3CDTF">2023-09-04T07:23:00Z</dcterms:modified>
</cp:coreProperties>
</file>