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67" w:rsidRPr="00EB1767" w:rsidRDefault="00EB1767" w:rsidP="00EB1767">
      <w:pPr>
        <w:jc w:val="center"/>
        <w:rPr>
          <w:rFonts w:ascii="Times New Roman" w:eastAsia="Times New Roman" w:hAnsi="Times New Roman"/>
          <w:b/>
          <w:color w:val="333333"/>
          <w:sz w:val="36"/>
          <w:szCs w:val="36"/>
        </w:rPr>
      </w:pPr>
      <w:r w:rsidRPr="00EB1767">
        <w:rPr>
          <w:rFonts w:ascii="Times New Roman" w:eastAsia="Times New Roman" w:hAnsi="Times New Roman"/>
          <w:b/>
          <w:color w:val="333333"/>
          <w:sz w:val="36"/>
          <w:szCs w:val="36"/>
        </w:rPr>
        <w:t>Abstract</w:t>
      </w:r>
    </w:p>
    <w:p w:rsidR="00E859B2" w:rsidRPr="00EB1767" w:rsidRDefault="00EB1767" w:rsidP="00EB1767">
      <w:pPr>
        <w:jc w:val="both"/>
        <w:rPr>
          <w:sz w:val="24"/>
          <w:szCs w:val="24"/>
        </w:rPr>
      </w:pPr>
      <w:r w:rsidRPr="00EB1767">
        <w:rPr>
          <w:rFonts w:ascii="Times New Roman" w:hAnsi="Times New Roman"/>
          <w:sz w:val="24"/>
          <w:szCs w:val="24"/>
        </w:rPr>
        <w:t>The primary aim of this study was to investigate the correlation between game addiction and academic achievements. The secondary aim was to adapt a self-report to measure game addiction. Hundred and twenty high school and higher secondary students participated in this study. Quota sampling technique has been used. Data were collected questionnaire that include a brief explanation of the aim of the study. The purpose of this study was to explore the relationship between academic performance and online game addiction</w:t>
      </w:r>
    </w:p>
    <w:sectPr w:rsidR="00E859B2" w:rsidRPr="00EB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1767"/>
    <w:rsid w:val="00E859B2"/>
    <w:rsid w:val="00EB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2020-06-22T07:02:00Z</dcterms:created>
  <dcterms:modified xsi:type="dcterms:W3CDTF">2020-06-22T07:03:00Z</dcterms:modified>
</cp:coreProperties>
</file>