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EB357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06B49">
          <w:rPr>
            <w:rStyle w:val="Hyperlink"/>
            <w:rFonts w:ascii="Times New Roman" w:hAnsi="Times New Roman" w:cs="Times New Roman"/>
            <w:sz w:val="28"/>
            <w:szCs w:val="28"/>
          </w:rPr>
          <w:t>http://www.plantarchives.org/article/in-vitro-regeneration-of-arundina-graminifolia-d-don-hochr.pdf</w:t>
        </w:r>
      </w:hyperlink>
    </w:p>
    <w:p w:rsidR="00EB3576" w:rsidRDefault="00EB35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3576" w:rsidRPr="00EB3576" w:rsidRDefault="00EB357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DAA19EF" wp14:editId="5E7C54B2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B3576" w:rsidRPr="00EB3576" w:rsidSect="00EB357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DA"/>
    <w:rsid w:val="0011777C"/>
    <w:rsid w:val="002E4E98"/>
    <w:rsid w:val="00AE25DA"/>
    <w:rsid w:val="00EB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48FC9-18EA-4E67-8406-8D6BACDD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plantarchives.org/article/in-vitro-regeneration-of-arundina-graminifolia-d-don-hoch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2023-09-23T08:28:00Z</dcterms:created>
  <dcterms:modified xsi:type="dcterms:W3CDTF">2023-09-23T08:28:00Z</dcterms:modified>
</cp:coreProperties>
</file>