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4C5140" w:rsidP="004C5140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95E33">
          <w:rPr>
            <w:rStyle w:val="Hyperlink"/>
            <w:rFonts w:ascii="Times New Roman" w:hAnsi="Times New Roman" w:cs="Times New Roman"/>
            <w:sz w:val="28"/>
            <w:szCs w:val="28"/>
          </w:rPr>
          <w:t>https://www.tandfonline.com/doi/abs/10.1080/01932691.2018.1511435</w:t>
        </w:r>
      </w:hyperlink>
    </w:p>
    <w:p w:rsidR="004C5140" w:rsidRDefault="004C5140" w:rsidP="004C51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5140" w:rsidRPr="004C5140" w:rsidRDefault="004C5140" w:rsidP="004C51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D81CBF5" wp14:editId="75D0252E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C5140" w:rsidRPr="004C5140" w:rsidSect="004C514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2"/>
    <w:rsid w:val="0011777C"/>
    <w:rsid w:val="002E4E98"/>
    <w:rsid w:val="004C5140"/>
    <w:rsid w:val="00507812"/>
    <w:rsid w:val="00D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8FEE0-5D69-4233-A4C7-68CFF119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ndfonline.com/doi/abs/10.1080/01932691.2018.15114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2023-11-23T05:35:00Z</dcterms:created>
  <dcterms:modified xsi:type="dcterms:W3CDTF">2023-11-23T05:35:00Z</dcterms:modified>
</cp:coreProperties>
</file>