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F7356" w:rsidP="00DF735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57FCE">
          <w:rPr>
            <w:rStyle w:val="Hyperlink"/>
            <w:rFonts w:ascii="Times New Roman" w:hAnsi="Times New Roman" w:cs="Times New Roman"/>
            <w:sz w:val="28"/>
            <w:szCs w:val="28"/>
          </w:rPr>
          <w:t>https://chemistry-europe.onlinelibrary.wiley.com/doi/10.1002/celc.201801440</w:t>
        </w:r>
      </w:hyperlink>
    </w:p>
    <w:p w:rsidR="00DF7356" w:rsidRDefault="00DF7356" w:rsidP="00DF73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356" w:rsidRPr="00DF7356" w:rsidRDefault="00DF7356" w:rsidP="00DF7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7178AB" wp14:editId="0FED168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F7356" w:rsidRPr="00DF7356" w:rsidSect="00DF735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5A"/>
    <w:rsid w:val="0011777C"/>
    <w:rsid w:val="0028145A"/>
    <w:rsid w:val="002859EC"/>
    <w:rsid w:val="002E4E98"/>
    <w:rsid w:val="00D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1C766-ACAA-4098-B0A8-236D1115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F7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hemistry-europe.onlinelibrary.wiley.com/doi/10.1002/celc.201801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2023-11-24T05:06:00Z</dcterms:created>
  <dcterms:modified xsi:type="dcterms:W3CDTF">2023-11-24T05:06:00Z</dcterms:modified>
</cp:coreProperties>
</file>