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D4" w:rsidRPr="00A25FD4" w:rsidRDefault="00A25FD4" w:rsidP="00A25FD4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A25FD4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C90561" w:rsidRDefault="00A25FD4" w:rsidP="00A25FD4">
      <w:pPr>
        <w:spacing w:line="360" w:lineRule="auto"/>
        <w:jc w:val="both"/>
      </w:pPr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The plants hoard vital </w:t>
      </w:r>
      <w:proofErr w:type="spellStart"/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>phytochemicals</w:t>
      </w:r>
      <w:proofErr w:type="spellEnd"/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which have unique properties and functions have been</w:t>
      </w:r>
      <w:r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</w:t>
      </w:r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>used for human ailments and controlling pest is proven from earlier studies. The exploitation of plant</w:t>
      </w:r>
      <w:r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</w:t>
      </w:r>
      <w:proofErr w:type="spellStart"/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>phytochemical</w:t>
      </w:r>
      <w:proofErr w:type="spellEnd"/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compounds for application in pest control can serve a potential alternative against</w:t>
      </w:r>
      <w:r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</w:t>
      </w:r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>synthetic chemicals. In this perspective the research work was attempted to explore the insecticidal</w:t>
      </w:r>
      <w:r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</w:t>
      </w:r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properties of medicinal plant </w:t>
      </w:r>
      <w:proofErr w:type="spellStart"/>
      <w:r w:rsidRPr="00605195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Capparis</w:t>
      </w:r>
      <w:proofErr w:type="spellEnd"/>
      <w:r w:rsidRPr="00605195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5195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divaricata</w:t>
      </w:r>
      <w:proofErr w:type="spellEnd"/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against crop insect </w:t>
      </w:r>
      <w:proofErr w:type="spellStart"/>
      <w:r w:rsidRPr="00605195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Spodoptera</w:t>
      </w:r>
      <w:proofErr w:type="spellEnd"/>
      <w:r w:rsidRPr="00605195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5195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litura</w:t>
      </w:r>
      <w:proofErr w:type="spellEnd"/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and human</w:t>
      </w:r>
      <w:r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</w:t>
      </w:r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vector </w:t>
      </w:r>
      <w:proofErr w:type="spellStart"/>
      <w:r w:rsidRPr="00605195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Aedes</w:t>
      </w:r>
      <w:proofErr w:type="spellEnd"/>
      <w:r w:rsidRPr="00605195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5195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aegypti</w:t>
      </w:r>
      <w:proofErr w:type="spellEnd"/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. Plant collection, extraction methods, </w:t>
      </w:r>
      <w:proofErr w:type="spellStart"/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>larvicidal</w:t>
      </w:r>
      <w:proofErr w:type="spellEnd"/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and </w:t>
      </w:r>
      <w:proofErr w:type="spellStart"/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>hemocyte</w:t>
      </w:r>
      <w:proofErr w:type="spellEnd"/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analysis were</w:t>
      </w:r>
      <w:r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</w:t>
      </w:r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>carried out according to standard protocol with slight modifications. The petroleum ether, chloroform</w:t>
      </w:r>
      <w:r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</w:t>
      </w:r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and ethyl acetate extracts have been obtained by soaking method. The </w:t>
      </w:r>
      <w:proofErr w:type="spellStart"/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>larvicidal</w:t>
      </w:r>
      <w:proofErr w:type="spellEnd"/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activity on </w:t>
      </w:r>
      <w:r w:rsidRPr="00605195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A. </w:t>
      </w:r>
      <w:proofErr w:type="spellStart"/>
      <w:r w:rsidRPr="00605195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aegypti</w:t>
      </w:r>
      <w:proofErr w:type="spellEnd"/>
      <w:r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</w:t>
      </w:r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of IV </w:t>
      </w:r>
      <w:proofErr w:type="spellStart"/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>instar</w:t>
      </w:r>
      <w:proofErr w:type="spellEnd"/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and III </w:t>
      </w:r>
      <w:proofErr w:type="spellStart"/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>instar</w:t>
      </w:r>
      <w:proofErr w:type="spellEnd"/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larvae of </w:t>
      </w:r>
      <w:r w:rsidRPr="00605195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S. </w:t>
      </w:r>
      <w:proofErr w:type="spellStart"/>
      <w:r w:rsidRPr="00605195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litura</w:t>
      </w:r>
      <w:proofErr w:type="spellEnd"/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was performed using various concentrations of three</w:t>
      </w:r>
      <w:r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</w:t>
      </w:r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extracts. The treated </w:t>
      </w:r>
      <w:r w:rsidRPr="00605195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S. </w:t>
      </w:r>
      <w:proofErr w:type="spellStart"/>
      <w:r w:rsidRPr="00605195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litura</w:t>
      </w:r>
      <w:proofErr w:type="spellEnd"/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</w:t>
      </w:r>
      <w:proofErr w:type="spellStart"/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>haemocyte</w:t>
      </w:r>
      <w:proofErr w:type="spellEnd"/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analysis was performed and the morphological changes of</w:t>
      </w:r>
      <w:r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</w:t>
      </w:r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treated mosquito larvae and </w:t>
      </w:r>
      <w:r w:rsidRPr="00605195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S. </w:t>
      </w:r>
      <w:proofErr w:type="spellStart"/>
      <w:r w:rsidRPr="00605195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litura</w:t>
      </w:r>
      <w:proofErr w:type="spellEnd"/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</w:t>
      </w:r>
      <w:proofErr w:type="spellStart"/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>haemocytes</w:t>
      </w:r>
      <w:proofErr w:type="spellEnd"/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were observed. The data analysis was done using</w:t>
      </w:r>
      <w:r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</w:t>
      </w:r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SPSS 16.0. The </w:t>
      </w:r>
      <w:proofErr w:type="spellStart"/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>larvicidal</w:t>
      </w:r>
      <w:proofErr w:type="spellEnd"/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assay on </w:t>
      </w:r>
      <w:r w:rsidRPr="00605195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A. </w:t>
      </w:r>
      <w:proofErr w:type="spellStart"/>
      <w:r w:rsidRPr="00605195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aegypti</w:t>
      </w:r>
      <w:proofErr w:type="spellEnd"/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revealed that the ethyl acetate extract and petroleum</w:t>
      </w:r>
      <w:r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</w:t>
      </w:r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>ether extract showed promising results of above 70% mortality where as chloroform showed mortality</w:t>
      </w:r>
      <w:r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</w:t>
      </w:r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above 60%. The </w:t>
      </w:r>
      <w:proofErr w:type="spellStart"/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>larvicidal</w:t>
      </w:r>
      <w:proofErr w:type="spellEnd"/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activities of </w:t>
      </w:r>
      <w:r w:rsidRPr="00605195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S. </w:t>
      </w:r>
      <w:proofErr w:type="spellStart"/>
      <w:r w:rsidRPr="00605195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litura</w:t>
      </w:r>
      <w:proofErr w:type="spellEnd"/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using these extracts indicate that the larvae</w:t>
      </w:r>
      <w:r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</w:t>
      </w:r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>have</w:t>
      </w:r>
      <w:r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</w:t>
      </w:r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>produced 20% mortality for ethyl acetate extract and less than 5% in other two extracts. However the</w:t>
      </w:r>
      <w:r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</w:t>
      </w:r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>extract has affected the adult development hence less than 40% of the adult was emerged from pupa</w:t>
      </w:r>
      <w:r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</w:t>
      </w:r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which was evident from certain changes observed in the </w:t>
      </w:r>
      <w:proofErr w:type="spellStart"/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>hemocyte</w:t>
      </w:r>
      <w:proofErr w:type="spellEnd"/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morphology of </w:t>
      </w:r>
      <w:r w:rsidRPr="00605195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S. </w:t>
      </w:r>
      <w:proofErr w:type="spellStart"/>
      <w:r w:rsidRPr="00605195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litura</w:t>
      </w:r>
      <w:proofErr w:type="spellEnd"/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>.</w:t>
      </w:r>
      <w:r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</w:t>
      </w:r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>This preliminary work on the plant extract has found to be potential in affecting the insect</w:t>
      </w:r>
      <w:r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</w:t>
      </w:r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cuticle of </w:t>
      </w:r>
      <w:r w:rsidRPr="00605195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A. </w:t>
      </w:r>
      <w:proofErr w:type="spellStart"/>
      <w:r w:rsidRPr="00605195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aegypti</w:t>
      </w:r>
      <w:proofErr w:type="spellEnd"/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larvae and the adult development of </w:t>
      </w:r>
      <w:r w:rsidRPr="00605195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S. </w:t>
      </w:r>
      <w:proofErr w:type="spellStart"/>
      <w:r w:rsidRPr="00605195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litura</w:t>
      </w:r>
      <w:proofErr w:type="spellEnd"/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>. Detailed study of this plant extract</w:t>
      </w:r>
      <w:r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</w:t>
      </w:r>
      <w:r w:rsidRPr="00ED587D">
        <w:rPr>
          <w:rFonts w:ascii="Times New Roman" w:eastAsia="Times New Roman" w:hAnsi="Times New Roman"/>
          <w:iCs/>
          <w:color w:val="333333"/>
          <w:sz w:val="24"/>
          <w:szCs w:val="24"/>
        </w:rPr>
        <w:t>is undertaken against similar insect species.</w:t>
      </w:r>
    </w:p>
    <w:sectPr w:rsidR="00C90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5FD4"/>
    <w:rsid w:val="00A25FD4"/>
    <w:rsid w:val="00C9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2020-07-30T07:06:00Z</dcterms:created>
  <dcterms:modified xsi:type="dcterms:W3CDTF">2020-07-30T07:06:00Z</dcterms:modified>
</cp:coreProperties>
</file>